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5E1F8C" w14:textId="33730AC6" w:rsidR="0027400A" w:rsidRPr="00F824C4" w:rsidRDefault="005F1C9E" w:rsidP="00F824C4">
      <w:pPr>
        <w:spacing w:line="360" w:lineRule="auto"/>
        <w:rPr>
          <w:b/>
          <w:sz w:val="22"/>
          <w:szCs w:val="22"/>
        </w:rPr>
      </w:pPr>
      <w:r w:rsidRPr="00B86B4D">
        <w:rPr>
          <w:b/>
          <w:sz w:val="22"/>
          <w:szCs w:val="22"/>
        </w:rPr>
        <w:t>Supplementary Methods</w:t>
      </w:r>
      <w:r w:rsidR="00B86B4D" w:rsidRPr="00B86B4D">
        <w:rPr>
          <w:b/>
          <w:sz w:val="22"/>
          <w:szCs w:val="22"/>
        </w:rPr>
        <w:t xml:space="preserve"> II.</w:t>
      </w:r>
      <w:r w:rsidRPr="00B86B4D">
        <w:rPr>
          <w:b/>
          <w:sz w:val="22"/>
          <w:szCs w:val="22"/>
        </w:rPr>
        <w:t xml:space="preserve"> </w:t>
      </w:r>
      <w:r w:rsidR="00F06B79" w:rsidRPr="00B86B4D">
        <w:rPr>
          <w:rFonts w:eastAsia="Times New Roman"/>
          <w:b/>
          <w:color w:val="000033"/>
          <w:sz w:val="22"/>
          <w:szCs w:val="22"/>
          <w:shd w:val="clear" w:color="auto" w:fill="FFFFFF"/>
        </w:rPr>
        <w:t>M</w:t>
      </w:r>
      <w:r w:rsidRPr="00B86B4D">
        <w:rPr>
          <w:rFonts w:eastAsia="Times New Roman"/>
          <w:b/>
          <w:color w:val="000033"/>
          <w:sz w:val="22"/>
          <w:szCs w:val="22"/>
          <w:shd w:val="clear" w:color="auto" w:fill="FFFFFF"/>
        </w:rPr>
        <w:t xml:space="preserve">ethodological and </w:t>
      </w:r>
      <w:r w:rsidR="00F06B79" w:rsidRPr="00B86B4D">
        <w:rPr>
          <w:rFonts w:eastAsia="Times New Roman"/>
          <w:b/>
          <w:color w:val="000033"/>
          <w:sz w:val="22"/>
          <w:szCs w:val="22"/>
          <w:shd w:val="clear" w:color="auto" w:fill="FFFFFF"/>
        </w:rPr>
        <w:t xml:space="preserve">Analytical </w:t>
      </w:r>
    </w:p>
    <w:p w14:paraId="523660EB" w14:textId="77777777" w:rsidR="00E75219" w:rsidRPr="001700A7" w:rsidRDefault="00E75219" w:rsidP="001700A7">
      <w:pPr>
        <w:spacing w:line="360" w:lineRule="auto"/>
        <w:ind w:firstLine="720"/>
        <w:outlineLvl w:val="0"/>
        <w:rPr>
          <w:i/>
          <w:color w:val="000000" w:themeColor="text1"/>
          <w:sz w:val="22"/>
          <w:szCs w:val="22"/>
        </w:rPr>
      </w:pPr>
      <w:r w:rsidRPr="001700A7">
        <w:rPr>
          <w:i/>
          <w:color w:val="000000" w:themeColor="text1"/>
          <w:sz w:val="22"/>
          <w:szCs w:val="22"/>
        </w:rPr>
        <w:t xml:space="preserve">Study Population </w:t>
      </w:r>
    </w:p>
    <w:p w14:paraId="7385098A" w14:textId="77777777" w:rsidR="00E75219" w:rsidRPr="00B86B4D" w:rsidRDefault="00E75219" w:rsidP="00F824C4">
      <w:pPr>
        <w:spacing w:line="360" w:lineRule="auto"/>
        <w:rPr>
          <w:sz w:val="22"/>
          <w:szCs w:val="22"/>
        </w:rPr>
      </w:pPr>
      <w:r w:rsidRPr="00B86B4D">
        <w:rPr>
          <w:sz w:val="22"/>
          <w:szCs w:val="22"/>
        </w:rPr>
        <w:t xml:space="preserve">     Clinical, protein, and genetic </w:t>
      </w:r>
      <w:hyperlink r:id="rId5" w:history="1">
        <w:r w:rsidRPr="00B86B4D">
          <w:rPr>
            <w:rStyle w:val="Hyperlink"/>
            <w:sz w:val="22"/>
            <w:szCs w:val="22"/>
          </w:rPr>
          <w:t>biomarker</w:t>
        </w:r>
      </w:hyperlink>
      <w:r w:rsidRPr="00B86B4D">
        <w:rPr>
          <w:sz w:val="22"/>
          <w:szCs w:val="22"/>
        </w:rPr>
        <w:t xml:space="preserve"> samples were from participants of the longitudinal study in aging </w:t>
      </w:r>
      <w:proofErr w:type="spellStart"/>
      <w:r w:rsidRPr="00B86B4D">
        <w:rPr>
          <w:i/>
          <w:sz w:val="22"/>
          <w:szCs w:val="22"/>
        </w:rPr>
        <w:t>Invecchiare</w:t>
      </w:r>
      <w:proofErr w:type="spellEnd"/>
      <w:r w:rsidRPr="00B86B4D">
        <w:rPr>
          <w:i/>
          <w:sz w:val="22"/>
          <w:szCs w:val="22"/>
        </w:rPr>
        <w:t xml:space="preserve"> in Chianti</w:t>
      </w:r>
      <w:r w:rsidRPr="00B86B4D">
        <w:rPr>
          <w:sz w:val="22"/>
          <w:szCs w:val="22"/>
        </w:rPr>
        <w:t xml:space="preserve"> (Aging in Chianti, “InCHIANTI Study”), collected at baseline study entry from 1998-2000. This group is a representative sample (n=1,453) of the population of white European origin from two small towns in Tuscany, Italy. The primary aim of the InCHIANTI study was to evaluate physical function and mobility in older community-dwelling individuals. A detailed description of the study design, data collection, and sampling procedure are published elsewhere.</w:t>
      </w:r>
      <w:r w:rsidRPr="00B86B4D">
        <w:rPr>
          <w:sz w:val="22"/>
          <w:szCs w:val="22"/>
        </w:rPr>
        <w:fldChar w:fldCharType="begin" w:fldLock="1"/>
      </w:r>
      <w:r w:rsidRPr="00B86B4D">
        <w:rPr>
          <w:sz w:val="22"/>
          <w:szCs w:val="22"/>
        </w:rPr>
        <w:instrText>ADDIN CSL_CITATION {"citationItems":[{"id":"ITEM-1","itemData":{"ISSN":"0002-8614","PMID":"11129752","abstract":"BACKGROUND Older patients are often referred to geriatricians because of complaints of progressive difficulties in walking. The diagnostic and therapeutic approach to these patients is complex. Multiple physiologic subsystems may influence the ability to walk, and no standard criteria are currently available to establish whether these subsystems are functioning within the normal range. To address this lack of knowledge we conducted the InCHIANTI study. OBJECTIVE To identify measures that clinicians can use to understand the causes of walking difficulties in older persons. DESIGN A population-based study of persons living in the Chianti geographic area (Tuscany, Italy). PARTICIPANTS 1,453 persons (age-range 20-102 years; 91.6% of the eligible) selected from city registry of Greve in Chianti and Bagno a Ripoli (Tuscany, Italy), using a multistage sampling method. MEASUREMENTS Factors that influence walking ability were classified into six main physiologic subsystems: central nervous system, perceptual system, peripheral nervous system, muscles, bone/joints, and energy production/delivery. Measures of the integrity and functioning of each of these proposed subsystems were identified and administered to all participants. CONCLUSIONS Data collected in InCHIANTI will be used to identify the main risk factors that influence loss of the ability to walk in older persons, to define physiologic subsystems that are critical for walking, to select the best measures of their integrity, and to establish critical ranges in these measures that are compatible with \"normal\" walking ability. The final goal is to translate epidemiological research into a geriatric clinical tool that makes possible more precise diagnosis and more effective treatment in patients with walking dysfunction.","author":[{"dropping-particle":"","family":"Ferrucci","given":"L","non-dropping-particle":"","parse-names":false,"suffix":""},{"dropping-particle":"","family":"Bandinelli","given":"S","non-dropping-particle":"","parse-names":false,"suffix":""},{"dropping-particle":"","family":"Benvenuti","given":"E","non-dropping-particle":"","parse-names":false,"suffix":""},{"dropping-particle":"","family":"Iorio","given":"A","non-dropping-particle":"Di","parse-names":false,"suffix":""},{"dropping-particle":"","family":"Macchi","given":"C","non-dropping-particle":"","parse-names":false,"suffix":""},{"dropping-particle":"","family":"Harris","given":"T B","non-dropping-particle":"","parse-names":false,"suffix":""},{"dropping-particle":"","family":"Guralnik","given":"J M","non-dropping-particle":"","parse-names":false,"suffix":""}],"container-title":"Journal of the American Geriatrics Society","id":"ITEM-1","issue":"12","issued":{"date-parts":[["2000","12"]]},"page":"1618-25","title":"Subsystems contributing to the decline in ability to walk: bridging the gap between epidemiology and geriatric practice in the InCHIANTI study.","type":"article-journal","volume":"48"},"uris":["http://www.mendeley.com/documents/?uuid=0a67f22a-3cb2-3a55-a96b-ea3466700ccd","http://www.mendeley.com/documents/?uuid=adc4c03d-6138-40d1-a0b2-df21ee61229c"]}],"mendeley":{"formattedCitation":"&lt;sup&gt;18&lt;/sup&gt;","plainTextFormattedCitation":"18","previouslyFormattedCitation":"&lt;sup&gt;18&lt;/sup&gt;"},"properties":{"noteIndex":0},"schema":"https://github.com/citation-style-language/schema/raw/master/csl-citation.json"}</w:instrText>
      </w:r>
      <w:r w:rsidRPr="00B86B4D">
        <w:rPr>
          <w:sz w:val="22"/>
          <w:szCs w:val="22"/>
        </w:rPr>
        <w:fldChar w:fldCharType="separate"/>
      </w:r>
      <w:r w:rsidRPr="00B86B4D">
        <w:rPr>
          <w:noProof/>
          <w:sz w:val="22"/>
          <w:szCs w:val="22"/>
          <w:vertAlign w:val="superscript"/>
        </w:rPr>
        <w:t>18</w:t>
      </w:r>
      <w:r w:rsidRPr="00B86B4D">
        <w:rPr>
          <w:sz w:val="22"/>
          <w:szCs w:val="22"/>
        </w:rPr>
        <w:fldChar w:fldCharType="end"/>
      </w:r>
      <w:r w:rsidRPr="00B86B4D">
        <w:rPr>
          <w:sz w:val="22"/>
          <w:szCs w:val="22"/>
        </w:rPr>
        <w:t xml:space="preserve"> This secondary study was approved by the ethics committee at </w:t>
      </w:r>
      <w:r w:rsidRPr="00B86B4D">
        <w:rPr>
          <w:i/>
          <w:sz w:val="22"/>
          <w:szCs w:val="22"/>
        </w:rPr>
        <w:t>Centre de recherché Clinique du CHUS</w:t>
      </w:r>
      <w:r w:rsidRPr="00B86B4D">
        <w:rPr>
          <w:sz w:val="22"/>
          <w:szCs w:val="22"/>
        </w:rPr>
        <w:t xml:space="preserve"> and by the Institutional Review Board of the </w:t>
      </w:r>
      <w:proofErr w:type="spellStart"/>
      <w:r w:rsidRPr="00B86B4D">
        <w:rPr>
          <w:sz w:val="22"/>
          <w:szCs w:val="22"/>
        </w:rPr>
        <w:t>Azienda</w:t>
      </w:r>
      <w:proofErr w:type="spellEnd"/>
      <w:r w:rsidRPr="00B86B4D">
        <w:rPr>
          <w:sz w:val="22"/>
          <w:szCs w:val="22"/>
        </w:rPr>
        <w:t xml:space="preserve"> Sanitaria Area 10 Firenze; all participants consented to participate after having received a full description of the study project #548.</w:t>
      </w:r>
    </w:p>
    <w:p w14:paraId="51CBEC71" w14:textId="40ACCEAD" w:rsidR="00E75219" w:rsidRPr="00B86B4D" w:rsidRDefault="00E75219" w:rsidP="00F824C4">
      <w:pPr>
        <w:spacing w:line="360" w:lineRule="auto"/>
        <w:ind w:left="360"/>
        <w:rPr>
          <w:i/>
          <w:color w:val="000000" w:themeColor="text1"/>
          <w:sz w:val="22"/>
          <w:szCs w:val="22"/>
        </w:rPr>
      </w:pPr>
      <w:r w:rsidRPr="00B86B4D">
        <w:rPr>
          <w:i/>
          <w:color w:val="000000" w:themeColor="text1"/>
          <w:sz w:val="22"/>
          <w:szCs w:val="22"/>
        </w:rPr>
        <w:t xml:space="preserve">Predictive Measures </w:t>
      </w:r>
    </w:p>
    <w:p w14:paraId="173A87E4" w14:textId="77777777" w:rsidR="00E75219" w:rsidRPr="00B86B4D" w:rsidRDefault="00E75219" w:rsidP="00F824C4">
      <w:pPr>
        <w:spacing w:line="360" w:lineRule="auto"/>
        <w:rPr>
          <w:color w:val="000000" w:themeColor="text1"/>
          <w:sz w:val="22"/>
          <w:szCs w:val="22"/>
          <w:vertAlign w:val="superscript"/>
        </w:rPr>
      </w:pPr>
      <w:r w:rsidRPr="00B86B4D">
        <w:rPr>
          <w:rFonts w:eastAsia="Arial"/>
          <w:color w:val="000000" w:themeColor="text1"/>
          <w:sz w:val="22"/>
          <w:szCs w:val="22"/>
        </w:rPr>
        <w:t>The International Consensus Group’s (I.A.A.A. /I.A.G.G.) list of potential biomarkers is not meant to be complete, accurate, or exhaustive.</w:t>
      </w:r>
      <w:r w:rsidRPr="00B86B4D">
        <w:rPr>
          <w:rFonts w:eastAsia="Arial"/>
          <w:color w:val="000000" w:themeColor="text1"/>
          <w:sz w:val="22"/>
          <w:szCs w:val="22"/>
        </w:rPr>
        <w:fldChar w:fldCharType="begin" w:fldLock="1"/>
      </w:r>
      <w:r w:rsidRPr="00B86B4D">
        <w:rPr>
          <w:rFonts w:eastAsia="Arial"/>
          <w:color w:val="000000" w:themeColor="text1"/>
          <w:sz w:val="22"/>
          <w:szCs w:val="22"/>
        </w:rPr>
        <w:instrText>ADDIN CSL_CITATION {"citationItems":[{"id":"ITEM-1","itemData":{"DOI":"10.1007/s12603-013-0367-2","ISSN":"1760-4788","PMID":"24154642","abstract":"The frailty syndrome has recently attracted attention of the scientific community and public health organizations as precursor and contributor of age-related conditions (particularly disability) in older persons. In parallel, dementia and cognitive disorders also represent major healthcare and social priorities. Although physical frailty and cognitive impairment have shown to be related in epidemiological studies, their pathophysiological mechanisms have been usually studied separately. An International Consensus Group on \"Cognitive Frailty\" was organized by the International Academy on Nutrition and Aging (I.A.N.A) and the International Association of Gerontology and Geriatrics (I.A.G.G) on April 16th, 2013 in Toulouse (France). The present report describes the results of the Consensus Group and provides the first definition of a \"Cognitive Frailty\" condition in older adults. Specific aim of this approach was to facilitate the design of future personalized preventive interventions in older persons. Finally, the Group discussed the use of multidomain interventions focused on the physical, nutritional, cognitive and psychological domains for improving the well-being and quality of life in the elderly. The consensus panel proposed the identification of the so-called \"cognitive frailty\" as an heterogeneous clinical manifestation characterized by the simultaneous presence of both physical frailty and cognitive impairment. In particular, the key factors defining such a condition include: 1) presence of physical frailty and cognitive impairment (CDR=0.5); and 2) exclusion of concurrent AD dementia or other dementias. Under different circumstances, cognitive frailty may represent a precursor of neurodegenerative processes. A potential for reversibility may also characterize this entity. A psychological component of the condition is evident and concurs at increasing the vulnerability of the individual to stressors.","author":[{"dropping-particle":"","family":"Kelaiditi","given":"E","non-dropping-particle":"","parse-names":false,"suffix":""},{"dropping-particle":"","family":"Cesari","given":"M","non-dropping-particle":"","parse-names":false,"suffix":""},{"dropping-particle":"","family":"Canevelli","given":"M","non-dropping-particle":"","parse-names":false,"suffix":""},{"dropping-particle":"","family":"Kan","given":"G Abellan","non-dropping-particle":"van","parse-names":false,"suffix":""},{"dropping-particle":"","family":"Ousset","given":"P-J","non-dropping-particle":"","parse-names":false,"suffix":""},{"dropping-particle":"","family":"Gillette-Guyonnet","given":"S","non-dropping-particle":"","parse-names":false,"suffix":""},{"dropping-particle":"","family":"Ritz","given":"P","non-dropping-particle":"","parse-names":false,"suffix":""},{"dropping-particle":"","family":"Duveau","given":"F","non-dropping-particle":"","parse-names":false,"suffix":""},{"dropping-particle":"","family":"Soto","given":"M E","non-dropping-particle":"","parse-names":false,"suffix":""},{"dropping-particle":"","family":"Provencher","given":"V","non-dropping-particle":"","parse-names":false,"suffix":""},{"dropping-particle":"","family":"Nourhashemi","given":"F","non-dropping-particle":"","parse-names":false,"suffix":""},{"dropping-particle":"","family":"Salvà","given":"A","non-dropping-particle":"","parse-names":false,"suffix":""},{"dropping-particle":"","family":"Robert","given":"P","non-dropping-particle":"","parse-names":false,"suffix":""},{"dropping-particle":"","family":"Andrieu","given":"S","non-dropping-particle":"","parse-names":false,"suffix":""},{"dropping-particle":"","family":"Rolland","given":"Y","non-dropping-particle":"","parse-names":false,"suffix":""},{"dropping-particle":"","family":"Touchon","given":"J","non-dropping-particle":"","parse-names":false,"suffix":""},{"dropping-particle":"","family":"Fitten","given":"J L","non-dropping-particle":"","parse-names":false,"suffix":""},{"dropping-particle":"","family":"Vellas","given":"B","non-dropping-particle":"","parse-names":false,"suffix":""}],"container-title":"The journal of nutrition, health &amp; aging","id":"ITEM-1","issue":"9","issued":{"date-parts":[["2013","9"]]},"page":"726-34","title":"Cognitive frailty: rational and definition from an (I.A.N.A./I.A.G.G.) international consensus group.","type":"article-journal","volume":"17"},"uris":["http://www.mendeley.com/documents/?uuid=a494df67-5f15-427d-ba1d-12f58f66b1b4","http://www.mendeley.com/documents/?uuid=e581566c-cec1-40c8-80fa-55ff3d31f28c"]}],"mendeley":{"formattedCitation":"&lt;sup&gt;1&lt;/sup&gt;","plainTextFormattedCitation":"1","previouslyFormattedCitation":"&lt;sup&gt;1&lt;/sup&gt;"},"properties":{"noteIndex":0},"schema":"https://github.com/citation-style-language/schema/raw/master/csl-citation.json"}</w:instrText>
      </w:r>
      <w:r w:rsidRPr="00B86B4D">
        <w:rPr>
          <w:rFonts w:eastAsia="Arial"/>
          <w:color w:val="000000" w:themeColor="text1"/>
          <w:sz w:val="22"/>
          <w:szCs w:val="22"/>
        </w:rPr>
        <w:fldChar w:fldCharType="separate"/>
      </w:r>
      <w:r w:rsidRPr="00B86B4D">
        <w:rPr>
          <w:rFonts w:eastAsia="Arial"/>
          <w:noProof/>
          <w:color w:val="000000" w:themeColor="text1"/>
          <w:sz w:val="22"/>
          <w:szCs w:val="22"/>
          <w:vertAlign w:val="superscript"/>
        </w:rPr>
        <w:t>1</w:t>
      </w:r>
      <w:r w:rsidRPr="00B86B4D">
        <w:rPr>
          <w:rFonts w:eastAsia="Arial"/>
          <w:color w:val="000000" w:themeColor="text1"/>
          <w:sz w:val="22"/>
          <w:szCs w:val="22"/>
        </w:rPr>
        <w:fldChar w:fldCharType="end"/>
      </w:r>
      <w:r w:rsidRPr="00B86B4D">
        <w:rPr>
          <w:rFonts w:eastAsia="Arial"/>
          <w:color w:val="000000" w:themeColor="text1"/>
          <w:sz w:val="22"/>
          <w:szCs w:val="22"/>
        </w:rPr>
        <w:t xml:space="preserve"> Our team used a previously published systematic review which identified shared biological markers for physical frailty and cognitive impairment, </w:t>
      </w:r>
      <w:r w:rsidRPr="00B86B4D">
        <w:rPr>
          <w:color w:val="000000" w:themeColor="text1"/>
          <w:sz w:val="22"/>
          <w:szCs w:val="22"/>
        </w:rPr>
        <w:t>a total of 289 variables were available in the InCHIANTI database.</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RR.2018.08.001","ISSN":"1568-1637","author":[{"dropping-particle":"","family":"Sargent","given":"Lana","non-dropping-particle":"","parse-names":false,"suffix":""},{"dropping-particle":"","family":"Nalls","given":"Mike","non-dropping-particle":"","parse-names":false,"suffix":""},{"dropping-particle":"","family":"Starkweather","given":"Angela","non-dropping-particle":"","parse-names":false,"suffix":""},{"dropping-particle":"","family":"Hobgood","given":"Sarah","non-dropping-particle":"","parse-names":false,"suffix":""},{"dropping-particle":"","family":"Thompson","given":"Holly","non-dropping-particle":"","parse-names":false,"suffix":""},{"dropping-particle":"","family":"Amella","given":"Elaine J.","non-dropping-particle":"","parse-names":false,"suffix":""},{"dropping-particle":"","family":"Singleton","given":"Andrew","non-dropping-particle":"","parse-names":false,"suffix":""}],"container-title":"Ageing Research Reviews","id":"ITEM-1","issued":{"date-parts":[["2018","11","1"]]},"page":"149-158","publisher":"Elsevier","title":"Shared biological pathways for frailty and cognitive impairment: A systematic review","type":"article-journal","volume":"47"},"uris":["http://www.mendeley.com/documents/?uuid=01b28bdd-ff34-4056-a194-72dbd343c684","http://www.mendeley.com/documents/?uuid=db89db83-5c66-330e-8453-0011398ee55e"]}],"mendeley":{"formattedCitation":"&lt;sup&gt;11&lt;/sup&gt;","plainTextFormattedCitation":"11","previouslyFormattedCitation":"&lt;sup&gt;11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11</w:t>
      </w:r>
      <w:r w:rsidRPr="00B86B4D">
        <w:rPr>
          <w:color w:val="000000" w:themeColor="text1"/>
          <w:sz w:val="22"/>
          <w:szCs w:val="22"/>
        </w:rPr>
        <w:fldChar w:fldCharType="end"/>
      </w:r>
      <w:r w:rsidRPr="00B86B4D">
        <w:rPr>
          <w:color w:val="000000" w:themeColor="text1"/>
          <w:sz w:val="22"/>
          <w:szCs w:val="22"/>
        </w:rPr>
        <w:t xml:space="preserve"> </w:t>
      </w:r>
    </w:p>
    <w:p w14:paraId="3B7BEB54"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w:t>
      </w:r>
      <w:r w:rsidRPr="00B86B4D">
        <w:rPr>
          <w:i/>
          <w:color w:val="000000" w:themeColor="text1"/>
          <w:sz w:val="22"/>
          <w:szCs w:val="22"/>
        </w:rPr>
        <w:t>Genetic and Protein Markers</w:t>
      </w:r>
      <w:r w:rsidRPr="00B86B4D">
        <w:rPr>
          <w:color w:val="000000" w:themeColor="text1"/>
          <w:sz w:val="22"/>
          <w:szCs w:val="22"/>
        </w:rPr>
        <w:t>: After removal of any variables with &gt; 12% missing data, there were 132 putative SNPs and 155 protein biomarkers. To build our model, we used protein markers with implications for clinical research and practice. Genetic risk score estimates (GRS) (i.e. the cumulative genetic risk burden estimated from SNPs of interest), were completed before including the individual single nucleotide polymorphisms (SNPs) in the final models (see GitHub supplementary material table III).</w:t>
      </w:r>
    </w:p>
    <w:p w14:paraId="1BFFC385"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w:t>
      </w:r>
      <w:r w:rsidRPr="00B86B4D">
        <w:rPr>
          <w:i/>
          <w:color w:val="000000" w:themeColor="text1"/>
          <w:sz w:val="22"/>
          <w:szCs w:val="22"/>
        </w:rPr>
        <w:t>Clinical Features</w:t>
      </w:r>
      <w:r w:rsidRPr="00B86B4D">
        <w:rPr>
          <w:color w:val="000000" w:themeColor="text1"/>
          <w:sz w:val="22"/>
          <w:szCs w:val="22"/>
        </w:rPr>
        <w:t>: Included age, sex, level of education, anticholinergic burden, and depressive symptoms. Anticholinergic medications were identified in the systematic review as a significant risk factor for cognitive impairment and physical frailty.</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RR.2018.08.001","ISSN":"1568-1637","author":[{"dropping-particle":"","family":"Sargent","given":"Lana","non-dropping-particle":"","parse-names":false,"suffix":""},{"dropping-particle":"","family":"Nalls","given":"Mike","non-dropping-particle":"","parse-names":false,"suffix":""},{"dropping-particle":"","family":"Starkweather","given":"Angela","non-dropping-particle":"","parse-names":false,"suffix":""},{"dropping-particle":"","family":"Hobgood","given":"Sarah","non-dropping-particle":"","parse-names":false,"suffix":""},{"dropping-particle":"","family":"Thompson","given":"Holly","non-dropping-particle":"","parse-names":false,"suffix":""},{"dropping-particle":"","family":"Amella","given":"Elaine J.","non-dropping-particle":"","parse-names":false,"suffix":""},{"dropping-particle":"","family":"Singleton","given":"Andrew","non-dropping-particle":"","parse-names":false,"suffix":""}],"container-title":"Ageing Research Reviews","id":"ITEM-1","issued":{"date-parts":[["2018","11","1"]]},"page":"149-158","publisher":"Elsevier","title":"Shared biological pathways for frailty and cognitive impairment: A systematic review","type":"article-journal","volume":"47"},"uris":["http://www.mendeley.com/documents/?uuid=01b28bdd-ff34-4056-a194-72dbd343c684","http://www.mendeley.com/documents/?uuid=db89db83-5c66-330e-8453-0011398ee55e"]}],"mendeley":{"formattedCitation":"&lt;sup&gt;11&lt;/sup&gt;","plainTextFormattedCitation":"11","previouslyFormattedCitation":"&lt;sup&gt;11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11</w:t>
      </w:r>
      <w:r w:rsidRPr="00B86B4D">
        <w:rPr>
          <w:color w:val="000000" w:themeColor="text1"/>
          <w:sz w:val="22"/>
          <w:szCs w:val="22"/>
        </w:rPr>
        <w:fldChar w:fldCharType="end"/>
      </w:r>
      <w:r w:rsidRPr="00B86B4D">
        <w:rPr>
          <w:color w:val="000000" w:themeColor="text1"/>
          <w:sz w:val="22"/>
          <w:szCs w:val="22"/>
        </w:rPr>
        <w:t xml:space="preserve"> Anticholinergic burden was calculated using the Anticholinergic Cognitive Burden Scale (ACB) and examined as a predictor.</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{"citationItems":[{"id":"ITEM-1","itemData":{"DOI":"10.2217/1745509X.4.3.311","ISBN":"1745-509X","ISSN":"1745-509X","PMID":"2008361540","abstract":"Objective: in an effort to enhance medication prescribing for older adults and reduce the burden of cognitive impairment, this paper reviews the literature regarding the negative impact of anticholinergics on cognitive function and provides clinicians with a practical guidance for anticholinergic use in older adults. Methods: a Medline search identified studies evaluating the use of anticholinergics and the relationship between anticholinergics and cognitive impairment. Results: prescribing anticholinergics for older adults leads to acute cognitive impairment and, possibly, chronic cognitive deficits. Assessing anticholinergic burden with a simple scale may represent a useful noninvasive tool to optimize geriatric pharmacotherapy. Conclusion: more studies are needed to validate the Anticholinergic Cognitive Burden scale and establish therapeutic guidelines in the presence of cognitive anticholinergic adverse effects.","author":[{"dropping-particle":"","family":"Boustani","given":"Malaz","non-dropping-particle":"","parse-names":false,"suffix":""},{"dropping-particle":"","family":"Campbell","given":"Noll","non-dropping-particle":"","parse-names":false,"suffix":""},{"dropping-particle":"","family":"Munger","given":"Stephanie","non-dropping-particle":"","parse-names":false,"suffix":""},{"dropping-particle":"","family":"Maidment","given":"Ian","non-dropping-particle":"","parse-names":false,"suffix":""},{"dropping-particle":"","family":"Fox","given":"Chris","non-dropping-particle":"","parse-names":false,"suffix":""}],"container-title":"Aging Health","id":"ITEM-1","issue":"3","issued":{"date-parts":[["2008"]]},"page":"311-320","title":"Impact of anticholinergics on the aging brain: a review and practical application","type":"article-journal","volume":"4"},"uris":["http://www.mendeley.com/documents/?uuid=8202324c-333d-4733-aaa8-3d70d4333b00","http://www.mendeley.com/documents/?uuid=95e34681-9212-42cb-9ad2-b7a647c3d208"]}],"mendeley":{"formattedCitation":"&lt;sup&gt;19&lt;/sup&gt;","plainTextFormattedCitation":"19","previouslyFormattedCitation":"&lt;sup&gt;19&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19</w:t>
      </w:r>
      <w:r w:rsidRPr="00B86B4D">
        <w:rPr>
          <w:color w:val="000000" w:themeColor="text1"/>
          <w:sz w:val="22"/>
          <w:szCs w:val="22"/>
        </w:rPr>
        <w:fldChar w:fldCharType="end"/>
      </w:r>
      <w:r w:rsidRPr="00B86B4D">
        <w:rPr>
          <w:color w:val="000000" w:themeColor="text1"/>
          <w:sz w:val="22"/>
          <w:szCs w:val="22"/>
        </w:rPr>
        <w:t xml:space="preserve"> Current depressive symptomatology was measured using the Center for Epidemiologic Studies Depression Scale (CES-D) self-report scale (0-60), with cutoff points 16 or greater indicating depression.</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{"citationItems":[{"id":"ITEM-1","itemData":{"DOI":"10.1037/0882-7974.12.2.277","ISSN":"1939-1498","author":[{"dropping-particle":"","family":"Lewinsohn","given":"Peter M.","non-dropping-particle":"","parse-names":false,"suffix":""},{"dropping-particle":"","family":"Seeley","given":"John R.","non-dropping-particle":"","parse-names":false,"suffix":""},{"dropping-particle":"","family":"Roberts","given":"Robert E.","non-dropping-particle":"","parse-names":false,"suffix":""},{"dropping-particle":"","family":"Allen","given":"Nicholas B.","non-dropping-particle":"","parse-names":false,"suffix":""}],"container-title":"Psychology and Aging","id":"ITEM-1","issue":"2","issued":{"date-parts":[["1997"]]},"page":"277-287","publisher":"US: American Psychological Association","title":"Center for Epidemiologic Studies Depression Scale (CES-D) as a screening instrument for depression among community-residing older adults.","type":"article-journal","volume":"12"},"uris":["http://www.mendeley.com/documents/?uuid=c88df4da-3698-39f0-b298-3caa0c46cbf0","http://www.mendeley.com/documents/?uuid=902701a8-a0b7-4072-bc7a-5bf04e75ad1b"]}],"mendeley":{"formattedCitation":"&lt;sup&gt;20&lt;/sup&gt;","plainTextFormattedCitation":"20","previouslyFormattedCitation":"&lt;sup&gt;20&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20</w:t>
      </w:r>
      <w:r w:rsidRPr="00B86B4D">
        <w:rPr>
          <w:color w:val="000000" w:themeColor="text1"/>
          <w:sz w:val="22"/>
          <w:szCs w:val="22"/>
        </w:rPr>
        <w:fldChar w:fldCharType="end"/>
      </w:r>
      <w:r w:rsidRPr="00B86B4D">
        <w:rPr>
          <w:color w:val="000000" w:themeColor="text1"/>
          <w:sz w:val="22"/>
          <w:szCs w:val="22"/>
        </w:rPr>
        <w:t xml:space="preserve"> Reliability, validity, and factor structure have been similar across a diverse demographic and the scale has been used extensively in epidemiologic studies for depression and physical function.</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{"citationItems":[{"id":"ITEM-1","itemData":{"DOI":"10.1177/014662167700100306","ISBN":"0146-6216","ISSN":"0146-6216","PMID":"4822","abstract":"The CES-D scale is a short self-report scale designed to measure depressive symptomatology in the general population. The items of the scale are symptoms associated with depression which have been used in previously validated longer scales. The new scale was tested in household interview surveys and in psychiatric settings. It was found to have very high internal consistency and adequate test- retest repeatability. Validity was established by pat terns of correlations with other self-report measures, by correlations with clinical ratings of depression, and by relationships with other variables which support its construct validity. Reliability, validity, and factor structure were similar across a wide variety of demographic characteristics in the general population samples tested. The scale should be a useful tool for epidemiologic studies of de pression.","author":[{"dropping-particle":"","family":"Radloff","given":"Lenore Sawyer","non-dropping-particle":"","parse-names":false,"suffix":""}],"container-title":"Appl. Psychol. Meas.","id":"ITEM-1","issue":"3","issued":{"date-parts":[["1977"]]},"page":"385-401","title":"A Self-Report Depression Scale for Research in the General Population","type":"article-journal","volume":"1"},"uris":["http://www.mendeley.com/documents/?uuid=09c3bbeb-5b8d-4ca4-be97-659dcb8626cf","http://www.mendeley.com/documents/?uuid=6ea93a81-e28e-4d76-8578-60d69d2ae84d"]}],"mendeley":{"formattedCitation":"&lt;sup&gt;21&lt;/sup&gt;","plainTextFormattedCitation":"21","previouslyFormattedCitation":"&lt;sup&gt;21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21</w:t>
      </w:r>
      <w:r w:rsidRPr="00B86B4D">
        <w:rPr>
          <w:color w:val="000000" w:themeColor="text1"/>
          <w:sz w:val="22"/>
          <w:szCs w:val="22"/>
        </w:rPr>
        <w:fldChar w:fldCharType="end"/>
      </w:r>
      <w:r w:rsidRPr="00B86B4D">
        <w:rPr>
          <w:color w:val="000000" w:themeColor="text1"/>
          <w:sz w:val="22"/>
          <w:szCs w:val="22"/>
        </w:rPr>
        <w:t xml:space="preserve"> </w:t>
      </w:r>
    </w:p>
    <w:p w14:paraId="3DFC7C2A" w14:textId="0B8CAB40" w:rsidR="00E75219" w:rsidRPr="00B86B4D" w:rsidRDefault="00E75219" w:rsidP="00F824C4">
      <w:pPr>
        <w:spacing w:line="360" w:lineRule="auto"/>
        <w:ind w:left="360"/>
        <w:rPr>
          <w:i/>
          <w:color w:val="000000" w:themeColor="text1"/>
          <w:sz w:val="22"/>
          <w:szCs w:val="22"/>
        </w:rPr>
      </w:pPr>
      <w:r w:rsidRPr="00B86B4D">
        <w:rPr>
          <w:i/>
          <w:color w:val="000000" w:themeColor="text1"/>
          <w:sz w:val="22"/>
          <w:szCs w:val="22"/>
        </w:rPr>
        <w:t>Outcome Measure</w:t>
      </w:r>
    </w:p>
    <w:p w14:paraId="1A342F9A" w14:textId="77777777" w:rsidR="00E75219" w:rsidRPr="00B86B4D" w:rsidRDefault="00E75219" w:rsidP="00F824C4">
      <w:pPr>
        <w:spacing w:line="360" w:lineRule="auto"/>
        <w:rPr>
          <w:color w:val="000000" w:themeColor="text1"/>
          <w:sz w:val="22"/>
          <w:szCs w:val="22"/>
        </w:rPr>
      </w:pPr>
      <w:r w:rsidRPr="00B86B4D">
        <w:rPr>
          <w:i/>
          <w:color w:val="000000" w:themeColor="text1"/>
          <w:sz w:val="22"/>
          <w:szCs w:val="22"/>
        </w:rPr>
        <w:t>Cognitive Frailty Measures</w:t>
      </w:r>
      <w:r w:rsidRPr="00B86B4D">
        <w:rPr>
          <w:color w:val="000000" w:themeColor="text1"/>
          <w:sz w:val="22"/>
          <w:szCs w:val="22"/>
        </w:rPr>
        <w:t xml:space="preserve">: Three instruments were used to measure neuropsychological function of cognitive frailty as determined by </w:t>
      </w:r>
      <w:r w:rsidRPr="00B86B4D">
        <w:rPr>
          <w:noProof/>
          <w:color w:val="000000" w:themeColor="text1"/>
          <w:sz w:val="22"/>
          <w:szCs w:val="22"/>
        </w:rPr>
        <w:t>Delrieu et al.</w:t>
      </w:r>
      <w:r w:rsidRPr="00B86B4D">
        <w:rPr>
          <w:noProof/>
          <w:color w:val="000000" w:themeColor="text1"/>
          <w:sz w:val="22"/>
          <w:szCs w:val="22"/>
        </w:rPr>
        <w:fldChar w:fldCharType="begin" w:fldLock="1"/>
      </w:r>
      <w:r w:rsidRPr="00B86B4D">
        <w:rPr>
          <w:noProof/>
          <w:color w:val="000000" w:themeColor="text1"/>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eb6552f4-eb74-4787-a363-adae5a8bd76f","http://www.mendeley.com/documents/?uuid=9782a8e3-1f92-4863-bd71-11a61c5c3cca"]}],"mendeley":{"formattedCitation":"&lt;sup&gt;22&lt;/sup&gt;","plainTextFormattedCitation":"22","previouslyFormattedCitation":"&lt;sup&gt;22&lt;/sup&gt;"},"properties":{"noteIndex":0},"schema":"https://github.com/citation-style-language/schema/raw/master/csl-citation.json"}</w:instrText>
      </w:r>
      <w:r w:rsidRPr="00B86B4D">
        <w:rPr>
          <w:noProof/>
          <w:color w:val="000000" w:themeColor="text1"/>
          <w:sz w:val="22"/>
          <w:szCs w:val="22"/>
        </w:rPr>
        <w:fldChar w:fldCharType="separate"/>
      </w:r>
      <w:r w:rsidRPr="00B86B4D">
        <w:rPr>
          <w:noProof/>
          <w:color w:val="000000" w:themeColor="text1"/>
          <w:sz w:val="22"/>
          <w:szCs w:val="22"/>
          <w:vertAlign w:val="superscript"/>
        </w:rPr>
        <w:t>22</w:t>
      </w:r>
      <w:r w:rsidRPr="00B86B4D">
        <w:rPr>
          <w:noProof/>
          <w:color w:val="000000" w:themeColor="text1"/>
          <w:sz w:val="22"/>
          <w:szCs w:val="22"/>
        </w:rPr>
        <w:fldChar w:fldCharType="end"/>
      </w:r>
      <w:r w:rsidRPr="00B86B4D">
        <w:rPr>
          <w:noProof/>
          <w:color w:val="000000" w:themeColor="text1"/>
          <w:sz w:val="22"/>
          <w:szCs w:val="22"/>
        </w:rPr>
        <w:t xml:space="preserve"> </w:t>
      </w:r>
      <w:r w:rsidRPr="00B86B4D">
        <w:rPr>
          <w:color w:val="000000" w:themeColor="text1"/>
          <w:sz w:val="22"/>
          <w:szCs w:val="22"/>
        </w:rPr>
        <w:t>The Mini-Mental State Examination (MMSE) as a test of global mental status and the Trail Making Test, Part A and B (TMT). Attention was assessed using the Trail Making Test (TMT-A) and executive function was assessed using the Trail Making Test (TMT-B) scoring based on time in seconds to completion of a task with a score range of 0 to 300 seconds.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{"citationItems":[{"id":"ITEM-1","itemData":{"author":[{"dropping-particle":"","family":"Reitan","given":"Ralph M","non-dropping-particle":"","parse-names":false,"suffix":""}],"container-title":"Perceptual and Motor Skills","id":"ITEM-1","issued":{"date-parts":[["1958"]]},"number-of-pages":"271-276","publisher":"@ Southern Universities Press","title":"Validity of the Trail Making Test as an Indicator of Organic Brain Damage","type":"report","volume":"8"},"uris":["http://www.mendeley.com/documents/?uuid=53c36d7d-5100-3c7a-a615-84408c69b3e6","http://www.mendeley.com/documents/?uuid=eb3fb539-3d26-4d9d-963b-458540f3a834"]}],"mendeley":{"formattedCitation":"&lt;sup&gt;23&lt;/sup&gt;","plainTextFormattedCitation":"23","previouslyFormattedCitation":"&lt;sup&gt;23&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23</w:t>
      </w:r>
      <w:r w:rsidRPr="00B86B4D">
        <w:rPr>
          <w:color w:val="000000" w:themeColor="text1"/>
          <w:sz w:val="22"/>
          <w:szCs w:val="22"/>
        </w:rPr>
        <w:fldChar w:fldCharType="end"/>
      </w:r>
      <w:r w:rsidRPr="00B86B4D">
        <w:rPr>
          <w:color w:val="000000" w:themeColor="text1"/>
          <w:sz w:val="22"/>
          <w:szCs w:val="22"/>
        </w:rPr>
        <w:t xml:space="preserve"> Individuals who required additional time to complete TMT A and B, but were able to complete the task, were included and assigned a score of 300. Prior research has established precedent for including individuals who complete the TMT over the 300 second time limit to distinguish this group from individuals who cannot complete the task independent of the time limit.</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{"citationItems":[{"id":"ITEM-1","itemData":{"DOI":"10.1016/j.acn.2007.11.005.","author":[{"dropping-particle":"","family":"Ashendorf","given":"Lee","non-dropping-particle":"","parse-names":false,"suffix":""},{"dropping-particle":"","family":"Jefferson","given":"Angela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-1","issue":"2","issued":{"date-parts":[["2008"]]},"page":"129-137","title":"Trail Making Test Errors in Normal Aging, Mild Cognitive Impairment, and Dementia","type":"article-journal","volume":"23"},"uris":["http://www.mendeley.com/documents/?uuid=92f1413d-4980-4a2e-a32f-b74fd958ec06"]},{"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4fa13890-86a0-4077-86f5-1894945423c8"]}],"mendeley":{"formattedCitation":"&lt;sup&gt;24,25&lt;/sup&gt;","plainTextFormattedCitation":"24,25","previouslyFormattedCitation":"&lt;sup&gt;24,25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24,25</w:t>
      </w:r>
      <w:r w:rsidRPr="00B86B4D">
        <w:rPr>
          <w:color w:val="000000" w:themeColor="text1"/>
          <w:sz w:val="22"/>
          <w:szCs w:val="22"/>
        </w:rPr>
        <w:fldChar w:fldCharType="end"/>
      </w:r>
      <w:r w:rsidRPr="00B86B4D">
        <w:rPr>
          <w:color w:val="000000" w:themeColor="text1"/>
          <w:sz w:val="22"/>
          <w:szCs w:val="22"/>
        </w:rPr>
        <w:t xml:space="preserve"> The rationale to include &gt;300 completers in these analyses was made due to the possible presence of slowing without confusion in the target population of individuals with cognitive frailty. TMT, part A and B cut off scores are based on established norms for mild neurocognitive disorders.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{"citationItems":[{"id":"ITEM-1","itemData":{"author":[{"dropping-particle":"","family":"Strauss","given":"Esther","non-dropping-particle":"","parse-names":false,"suffix":""},{"dropping-particle":"","family":"Sherman","given":"Elisabeth M.S.","non-dropping-particle":"","parse-names":false,"suffix":""},{"dropping-particle":"","family":"Spreen","given":"Otfried","non-dropping-particle":"","parse-names":false,"suffix":""}],"id":"ITEM-1","issued":{"date-parts":[["2006"]]},"number-of-pages":"655-676","publisher":"Oxford University Press","title":"A compendium of Neuropsychologial Tests: Adiminstration, Norms, and Commentary","type":"book"},"uris":["http://www.mendeley.com/documents/?uuid=4fa13890-86a0-4077-86f5-1894945423c8","http://www.mendeley.com/documents/?uuid=8e6eb8c7-43e9-4efc-b577-5b8718ecb902"]}],"mendeley":{"formattedCitation":"&lt;sup&gt;25&lt;/sup&gt;","plainTextFormattedCitation":"25","previouslyFormattedCitation":"&lt;sup&gt;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25</w:t>
      </w:r>
      <w:r w:rsidRPr="00B86B4D">
        <w:rPr>
          <w:color w:val="000000" w:themeColor="text1"/>
          <w:sz w:val="22"/>
          <w:szCs w:val="22"/>
        </w:rPr>
        <w:fldChar w:fldCharType="end"/>
      </w:r>
      <w:r w:rsidRPr="00B86B4D">
        <w:rPr>
          <w:color w:val="000000" w:themeColor="text1"/>
          <w:sz w:val="22"/>
          <w:szCs w:val="22"/>
        </w:rPr>
        <w:t xml:space="preserve"> Normative data for </w:t>
      </w:r>
      <w:r w:rsidRPr="00B86B4D">
        <w:rPr>
          <w:color w:val="000000" w:themeColor="text1"/>
          <w:sz w:val="22"/>
          <w:szCs w:val="22"/>
        </w:rPr>
        <w:lastRenderedPageBreak/>
        <w:t>time to complete the TMT tests in seconds was stratified by age and education category.</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{"citationItems":[{"id":"ITEM-1","itemData":{"author":[{"dropping-particle":"","family":"Strauss","given":"Esther","non-dropping-particle":"","parse-names":false,"suffix":""},{"dropping-particle":"","family":"Sherman","given":"Elisabeth M.S.","non-dropping-particle":"","parse-names":false,"suffix":""},{"dropping-particle":"","family":"Spreen","given":"Otfried","non-dropping-particle":"","parse-names":false,"suffix":""}],"id":"ITEM-1","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mendeley":{"formattedCitation":"&lt;sup&gt;25&lt;/sup&gt;","plainTextFormattedCitation":"25","previouslyFormattedCitation":"&lt;sup&gt;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25</w:t>
      </w:r>
      <w:r w:rsidRPr="00B86B4D">
        <w:rPr>
          <w:color w:val="000000" w:themeColor="text1"/>
          <w:sz w:val="22"/>
          <w:szCs w:val="22"/>
        </w:rPr>
        <w:fldChar w:fldCharType="end"/>
      </w:r>
      <w:r w:rsidRPr="00B86B4D">
        <w:rPr>
          <w:color w:val="000000" w:themeColor="text1"/>
          <w:sz w:val="22"/>
          <w:szCs w:val="22"/>
        </w:rPr>
        <w:t xml:space="preserve"> The InCHIANTI criteria for frailty is defined by Fried et al. as exhaustion, slowness, low physical activity, weakness, and weight loss.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31069cd0-962e-4783-be0d-1118afbbc2ef","http://www.mendeley.com/documents/?uuid=8a824c1b-015b-4dc5-b59f-9d4bd6290798"]}],"mendeley":{"formattedCitation":"&lt;sup&gt;3&lt;/sup&gt;","plainTextFormattedCitation":"3","previouslyFormattedCitation":"&lt;sup&gt;3&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w:t>
      </w:r>
      <w:r w:rsidRPr="00B86B4D">
        <w:rPr>
          <w:color w:val="000000" w:themeColor="text1"/>
          <w:sz w:val="22"/>
          <w:szCs w:val="22"/>
        </w:rPr>
        <w:fldChar w:fldCharType="end"/>
      </w:r>
      <w:r w:rsidRPr="00B86B4D">
        <w:rPr>
          <w:color w:val="000000" w:themeColor="text1"/>
          <w:sz w:val="22"/>
          <w:szCs w:val="22"/>
        </w:rPr>
        <w:t xml:space="preserve"> Additional description of the InCHIANTI data collection and frailty classifications have been previously published.</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10.1111/j.1532-5415.2000.tb03873.x","ISSN":"00028614","author":[{"dropping-particle":"","family":"Ferrucci","given":"Luigi","non-dropping-particle":"","parse-names":false,"suffix":""},{"dropping-particle":"","family":"Bandinelli","given":"Stefania","non-dropping-particle":"","parse-names":false,"suffix":""},{"dropping-particle":"","family":"Benvenuti","given":"Enrico","non-dropping-particle":"","parse-names":false,"suffix":""},{"dropping-particle":"","family":"Iorio","given":"Angelo","non-dropping-particle":"Di","parse-names":false,"suffix":""},{"dropping-particle":"","family":"Macchi","given":"Claudio","non-dropping-particle":"","parse-names":false,"suffix":""},{"dropping-particle":"","family":"Harris","given":"Tamara B.","non-dropping-particle":"","parse-names":false,"suffix":""},{"dropping-particle":"","family":"Guralnik","given":"Jack M","non-dropping-particle":"","parse-names":false,"suffix":""}],"container-title":"Journal of the American Geriatrics Society","id":"ITEM-1","issue":"12","issued":{"date-parts":[["2000","12"]]},"page":"1618-1625","publisher":"Blackwell Publishing Ltd","title":"Subsystems Contributing to the Decline in Ability to Walk: Bridging the Gap Between Epidemiology and Geriatric Practice in the InCHIANTI Study","type":"article-journal","volume":"48"},"uris":["http://www.mendeley.com/documents/?uuid=73c1ae0b-33d3-4167-a7c9-233e3d748fa9","http://www.mendeley.com/documents/?uuid=85f3002f-8702-4fcc-96e5-7a1be40bf76d"]},{"id":"ITEM-2","itemData":{"DOI":"10.1093/gerona/gly132","ISSN":"1079-5006","author":[{"dropping-particle":"","family":"Stenholm","given":"Sari","non-dropping-particle":"","parse-names":false,"suffix":""},{"dropping-particle":"","family":"Ferrucci","given":"Luigi","non-dropping-particle":"","parse-names":false,"suffix":""},{"dropping-particle":"","family":"Vahtera","given":"Jussi","non-dropping-particle":"","parse-names":false,"suffix":""},{"dropping-particle":"","family":"Hoogendijk","given":"Emiel O","non-dropping-particle":"","parse-names":false,"suffix":""},{"dropping-particle":"","family":"Huisman","given":"Martijn","non-dropping-particle":"","parse-names":false,"suffix":""},{"dropping-particle":"","family":"Pentti","given":"Jaana","non-dropping-particle":"","parse-names":false,"suffix":""},{"dropping-particle":"V","family":"Lindbohm","given":"Joni","non-dropping-particle":"","parse-names":false,"suffix":""},{"dropping-particle":"","family":"Bandinelli","given":"Stefania","non-dropping-particle":"","parse-names":false,"suffix":""},{"dropping-particle":"","family":"Guralnik","given":"Jack M","non-dropping-particle":"","parse-names":false,"suffix":""},{"dropping-particle":"","family":"Kivimäki","given":"Mika","non-dropping-particle":"","parse-names":false,"suffix":""}],"container-title":"The Journals of Gerontology: Series A","id":"ITEM-2","issued":{"date-parts":[["2018","8","1"]]},"title":"Natural Course of Frailty Components in People Who Develop Frailty Syndrome: Evidence From Two Cohort Studies","type":"article-journal"},"uris":["http://www.mendeley.com/documents/?uuid=0883d5c5-584b-35b5-ac0e-fd19db421ec1","http://www.mendeley.com/documents/?uuid=34997a00-3131-4376-8e7a-119986e711d2","http://www.mendeley.com/documents/?uuid=53f2674c-40f7-454c-aac4-41e0d7794f97"]}],"mendeley":{"formattedCitation":"&lt;sup&gt;26,27&lt;/sup&gt;","plainTextFormattedCitation":"26,27","previouslyFormattedCitation":"&lt;sup&gt;26,27&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26,27</w:t>
      </w:r>
      <w:r w:rsidRPr="00B86B4D">
        <w:rPr>
          <w:color w:val="000000" w:themeColor="text1"/>
          <w:sz w:val="22"/>
          <w:szCs w:val="22"/>
        </w:rPr>
        <w:fldChar w:fldCharType="end"/>
      </w:r>
    </w:p>
    <w:p w14:paraId="5F12E057" w14:textId="77777777" w:rsidR="00E75219" w:rsidRPr="00B86B4D" w:rsidRDefault="00E75219" w:rsidP="001700A7">
      <w:pPr>
        <w:spacing w:line="360" w:lineRule="auto"/>
        <w:ind w:firstLine="720"/>
        <w:rPr>
          <w:color w:val="000000" w:themeColor="text1"/>
          <w:sz w:val="22"/>
          <w:szCs w:val="22"/>
        </w:rPr>
      </w:pPr>
      <w:r w:rsidRPr="00B86B4D">
        <w:rPr>
          <w:i/>
          <w:color w:val="000000" w:themeColor="text1"/>
          <w:sz w:val="22"/>
          <w:szCs w:val="22"/>
        </w:rPr>
        <w:t xml:space="preserve">Cognitive Frailty Phenotype: </w:t>
      </w:r>
      <w:r w:rsidRPr="00B86B4D">
        <w:rPr>
          <w:color w:val="000000" w:themeColor="text1"/>
          <w:sz w:val="22"/>
          <w:szCs w:val="22"/>
        </w:rPr>
        <w:t>Individuals with evidence of both physical frailty and cognitive impairment without a baseline clinical diagnosis of Alzheimer’s Disease or other dementia were defined as having the cognitive frailty phenotype.</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eb6552f4-eb74-4787-a363-adae5a8bd76f","http://www.mendeley.com/documents/?uuid=0953eb21-8f97-4f99-8e58-7988492a3dfe"]}],"mendeley":{"formattedCitation":"&lt;sup&gt;22&lt;/sup&gt;","plainTextFormattedCitation":"22","previouslyFormattedCitation":"&lt;sup&gt;22&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22</w:t>
      </w:r>
      <w:r w:rsidRPr="00B86B4D">
        <w:rPr>
          <w:color w:val="000000" w:themeColor="text1"/>
          <w:sz w:val="22"/>
          <w:szCs w:val="22"/>
        </w:rPr>
        <w:fldChar w:fldCharType="end"/>
      </w:r>
      <w:r w:rsidRPr="00B86B4D">
        <w:rPr>
          <w:color w:val="000000" w:themeColor="text1"/>
          <w:sz w:val="22"/>
          <w:szCs w:val="22"/>
        </w:rPr>
        <w:t xml:space="preserve"> Phenotypic classification for this study included two models compared with healthy controls. </w:t>
      </w:r>
    </w:p>
    <w:p w14:paraId="723548B0"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Healthy controls were defined as robust:</w:t>
      </w:r>
    </w:p>
    <w:p w14:paraId="0132750A" w14:textId="77777777" w:rsidR="00E75219" w:rsidRPr="00B86B4D" w:rsidRDefault="00E75219" w:rsidP="00F824C4">
      <w:pPr>
        <w:pStyle w:val="ListParagraph"/>
        <w:numPr>
          <w:ilvl w:val="0"/>
          <w:numId w:val="3"/>
        </w:numPr>
        <w:spacing w:line="360" w:lineRule="auto"/>
        <w:rPr>
          <w:rFonts w:ascii="Times New Roman" w:hAnsi="Times New Roman"/>
          <w:color w:val="000000" w:themeColor="text1"/>
          <w:sz w:val="22"/>
          <w:szCs w:val="22"/>
        </w:rPr>
      </w:pPr>
      <w:r w:rsidRPr="00B86B4D">
        <w:rPr>
          <w:rFonts w:ascii="Times New Roman" w:hAnsi="Times New Roman"/>
          <w:color w:val="000000" w:themeColor="text1"/>
          <w:sz w:val="22"/>
          <w:szCs w:val="22"/>
        </w:rPr>
        <w:t>No physical frailty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1 criteria) and absence of cognitive impairment (MMSE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24; Trail A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78, Trail B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106).</w:t>
      </w:r>
    </w:p>
    <w:p w14:paraId="07C09FBB"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Model I considers participants with an MMSE </w:t>
      </w:r>
      <w:r w:rsidRPr="00B86B4D">
        <w:rPr>
          <w:rFonts w:ascii="Cambria Math" w:eastAsia="Times New Roman" w:hAnsi="Cambria Math" w:cs="Cambria Math"/>
          <w:color w:val="000000" w:themeColor="text1"/>
          <w:sz w:val="22"/>
          <w:szCs w:val="22"/>
          <w:shd w:val="clear" w:color="auto" w:fill="F8F9FA"/>
        </w:rPr>
        <w:t>≦</w:t>
      </w:r>
      <w:r w:rsidRPr="00B86B4D">
        <w:rPr>
          <w:color w:val="000000" w:themeColor="text1"/>
          <w:sz w:val="22"/>
          <w:szCs w:val="22"/>
        </w:rPr>
        <w:t xml:space="preserve"> 23 as having cognitive impairment and individuals with one or more of the physical frailty criteria are considered frail.</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{"citationItems":[{"id":"ITEM-1","itemData":{"ISSN":"0022-3956","PMID":"1202204","author":[{"dropping-particle":"","family":"Folstein","given":"M F","non-dropping-particle":"","parse-names":false,"suffix":""},{"dropping-particle":"","family":"Folstein","given":"S E","non-dropping-particle":"","parse-names":false,"suffix":""},{"dropping-particle":"","family":"McHugh","given":"P R","non-dropping-particle":"","parse-names":false,"suffix":""}],"container-title":"Journal of psychiatric research","id":"ITEM-1","issue":"3","issued":{"date-parts":[["1975","11"]]},"page":"189-98","title":"\"Mini-mental state\". A practical method for grading the cognitive state of patients for the clinician.","type":"article-journal","volume":"12"},"uris":["http://www.mendeley.com/documents/?uuid=e7836b21-3613-428a-ad29-f9e649034bb9","http://www.mendeley.com/documents/?uuid=83872237-ea0b-4127-9f60-62fd46f85565"]},{"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id":"ITEM-3","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sciences","id":"ITEM-3","issue":"3","issued":{"date-parts":[["2001","3"]]},"page":"M146-56","title":"Frailty in older adults: evidence for a phenotype.","type":"article-journal","volume":"56"},"uris":["http://www.mendeley.com/documents/?uuid=8a824c1b-015b-4dc5-b59f-9d4bd6290798"]}],"mendeley":{"formattedCitation":"&lt;sup&gt;3,25,28&lt;/sup&gt;","plainTextFormattedCitation":"3,25,28","previouslyFormattedCitation":"&lt;sup&gt;3,25,28&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3,25,28</w:t>
      </w:r>
      <w:r w:rsidRPr="00B86B4D">
        <w:rPr>
          <w:color w:val="000000" w:themeColor="text1"/>
          <w:sz w:val="22"/>
          <w:szCs w:val="22"/>
        </w:rPr>
        <w:fldChar w:fldCharType="end"/>
      </w:r>
      <w:r w:rsidRPr="00B86B4D">
        <w:rPr>
          <w:color w:val="000000" w:themeColor="text1"/>
          <w:sz w:val="22"/>
          <w:szCs w:val="22"/>
        </w:rPr>
        <w:t xml:space="preserve"> </w:t>
      </w:r>
    </w:p>
    <w:p w14:paraId="03BC8B07" w14:textId="77777777" w:rsidR="00E75219" w:rsidRPr="00B86B4D" w:rsidRDefault="00E75219" w:rsidP="00F824C4">
      <w:pPr>
        <w:pStyle w:val="ListParagraph"/>
        <w:numPr>
          <w:ilvl w:val="0"/>
          <w:numId w:val="2"/>
        </w:numPr>
        <w:spacing w:line="360" w:lineRule="auto"/>
        <w:rPr>
          <w:rFonts w:ascii="Times New Roman" w:hAnsi="Times New Roman"/>
          <w:color w:val="000000" w:themeColor="text1"/>
          <w:sz w:val="22"/>
          <w:szCs w:val="22"/>
        </w:rPr>
      </w:pPr>
      <w:r w:rsidRPr="00B86B4D">
        <w:rPr>
          <w:rFonts w:ascii="Times New Roman" w:hAnsi="Times New Roman"/>
          <w:color w:val="000000" w:themeColor="text1"/>
          <w:sz w:val="22"/>
          <w:szCs w:val="22"/>
        </w:rPr>
        <w:t>Physical frailty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1 criteria) and cognitive impairment (MMSE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23)</w:t>
      </w:r>
    </w:p>
    <w:p w14:paraId="732E2C19"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Model II considers participants who completed the MMSE with additional neuropsychiatric testing TMT, Part A and B.</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{"citationItems":[{"id":"ITEM-1","itemData":{"DOI":"10.1016/j.acn.2007.11.005.","author":[{"dropping-particle":"","family":"Ashendorf","given":"Lee","non-dropping-particle":"","parse-names":false,"suffix":""},{"dropping-particle":"","family":"Jefferson","given":"Angela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-1","issue":"2","issued":{"date-parts":[["2008"]]},"page":"129-137","title":"Trail Making Test Errors in Normal Aging, Mild Cognitive Impairment, and Dementia","type":"article-journal","volume":"23"},"uris":["http://www.mendeley.com/documents/?uuid=92f1413d-4980-4a2e-a32f-b74fd958ec06","http://www.mendeley.com/documents/?uuid=cebc610d-dda9-464f-9878-38eb777ab20f"]},{"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mendeley":{"formattedCitation":"&lt;sup&gt;24,25&lt;/sup&gt;","plainTextFormattedCitation":"24,25","previouslyFormattedCitation":"&lt;sup&gt;24,25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24,25</w:t>
      </w:r>
      <w:r w:rsidRPr="00B86B4D">
        <w:rPr>
          <w:color w:val="000000" w:themeColor="text1"/>
          <w:sz w:val="22"/>
          <w:szCs w:val="22"/>
        </w:rPr>
        <w:fldChar w:fldCharType="end"/>
      </w:r>
      <w:r w:rsidRPr="00B86B4D">
        <w:rPr>
          <w:color w:val="000000" w:themeColor="text1"/>
          <w:sz w:val="22"/>
          <w:szCs w:val="22"/>
        </w:rPr>
        <w:t xml:space="preserve"> TMT cut off scores for cognitive impairment are based on cut off norms established by </w:t>
      </w:r>
      <w:proofErr w:type="spellStart"/>
      <w:r w:rsidRPr="00B86B4D">
        <w:rPr>
          <w:color w:val="000000" w:themeColor="text1"/>
          <w:sz w:val="22"/>
          <w:szCs w:val="22"/>
        </w:rPr>
        <w:t>Ashendorf</w:t>
      </w:r>
      <w:proofErr w:type="spellEnd"/>
      <w:r w:rsidRPr="00B86B4D">
        <w:rPr>
          <w:color w:val="000000" w:themeColor="text1"/>
          <w:sz w:val="22"/>
          <w:szCs w:val="22"/>
        </w:rPr>
        <w:t xml:space="preserve"> et al., 2008 and Strauss et al, 2006.  </w:t>
      </w:r>
    </w:p>
    <w:p w14:paraId="4D5EA524" w14:textId="77777777" w:rsidR="00E75219" w:rsidRPr="00B86B4D" w:rsidRDefault="00E75219" w:rsidP="00F824C4">
      <w:pPr>
        <w:pStyle w:val="ListParagraph"/>
        <w:numPr>
          <w:ilvl w:val="0"/>
          <w:numId w:val="2"/>
        </w:numPr>
        <w:spacing w:line="360" w:lineRule="auto"/>
        <w:rPr>
          <w:rFonts w:ascii="Times New Roman" w:hAnsi="Times New Roman"/>
          <w:color w:val="000000" w:themeColor="text1"/>
          <w:sz w:val="22"/>
          <w:szCs w:val="22"/>
        </w:rPr>
      </w:pPr>
      <w:r w:rsidRPr="00B86B4D">
        <w:rPr>
          <w:rFonts w:ascii="Times New Roman" w:hAnsi="Times New Roman"/>
          <w:color w:val="000000" w:themeColor="text1"/>
          <w:sz w:val="22"/>
          <w:szCs w:val="22"/>
        </w:rPr>
        <w:t>Physical frailty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1 criteria) and cognitive impairment (Trail A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78, Trail B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106)</w:t>
      </w:r>
    </w:p>
    <w:p w14:paraId="22E4F6E5" w14:textId="416A17FF" w:rsidR="000A7030" w:rsidRPr="00B86B4D" w:rsidRDefault="00E75219" w:rsidP="00F824C4">
      <w:pPr>
        <w:spacing w:line="360" w:lineRule="auto"/>
        <w:rPr>
          <w:color w:val="000000" w:themeColor="text1"/>
          <w:sz w:val="22"/>
          <w:szCs w:val="22"/>
        </w:rPr>
      </w:pPr>
      <w:r w:rsidRPr="00B86B4D">
        <w:rPr>
          <w:color w:val="000000" w:themeColor="text1"/>
          <w:sz w:val="22"/>
          <w:szCs w:val="22"/>
        </w:rPr>
        <w:t>Numbers of participants with moderate and severe cognitive impairment were insufficient for inclusion as separate categories for pre-frail and frail phenotypes in statistical analyses.</w:t>
      </w:r>
    </w:p>
    <w:p w14:paraId="71CE0DEA" w14:textId="4B00A7E5" w:rsidR="000A7030" w:rsidRPr="00484271" w:rsidRDefault="00E75219" w:rsidP="001700A7">
      <w:pPr>
        <w:spacing w:line="360" w:lineRule="auto"/>
        <w:ind w:firstLine="720"/>
        <w:rPr>
          <w:color w:val="000000" w:themeColor="text1"/>
          <w:sz w:val="22"/>
          <w:szCs w:val="22"/>
        </w:rPr>
      </w:pPr>
      <w:r w:rsidRPr="00B86B4D">
        <w:rPr>
          <w:i/>
          <w:color w:val="000000" w:themeColor="text1"/>
          <w:sz w:val="22"/>
          <w:szCs w:val="22"/>
        </w:rPr>
        <w:t xml:space="preserve">Statistical Analysis </w:t>
      </w:r>
      <w:r w:rsidR="001E500E" w:rsidRPr="00B86B4D">
        <w:rPr>
          <w:i/>
          <w:color w:val="000000" w:themeColor="text1"/>
          <w:sz w:val="22"/>
          <w:szCs w:val="22"/>
        </w:rPr>
        <w:t>(</w:t>
      </w:r>
      <w:r w:rsidR="001E500E" w:rsidRPr="00B86B4D">
        <w:rPr>
          <w:color w:val="000000" w:themeColor="text1"/>
          <w:sz w:val="22"/>
          <w:szCs w:val="22"/>
        </w:rPr>
        <w:t>Figure 2 shows a summary of our workflow)</w:t>
      </w:r>
    </w:p>
    <w:p w14:paraId="68A322DB" w14:textId="01FDAEA5" w:rsidR="00E75219" w:rsidRPr="00B86B4D" w:rsidRDefault="001E500E" w:rsidP="00F824C4">
      <w:pPr>
        <w:spacing w:line="360" w:lineRule="auto"/>
        <w:rPr>
          <w:color w:val="000000" w:themeColor="text1"/>
          <w:sz w:val="22"/>
          <w:szCs w:val="22"/>
        </w:rPr>
      </w:pPr>
      <w:r w:rsidRPr="00B86B4D">
        <w:rPr>
          <w:color w:val="000000" w:themeColor="text1"/>
          <w:sz w:val="22"/>
          <w:szCs w:val="22"/>
        </w:rPr>
        <w:t xml:space="preserve">     </w:t>
      </w:r>
      <w:r w:rsidR="00E75219" w:rsidRPr="00B86B4D">
        <w:rPr>
          <w:color w:val="000000" w:themeColor="text1"/>
          <w:sz w:val="22"/>
          <w:szCs w:val="22"/>
        </w:rPr>
        <w:t>We used a cross-sectional (study baseline) data to develop boosted ML models for identification of features associated with cognitive frailty. Then we further qualified the clinical and biological predictors identified in the model by examining their significance by healthy control and cognitive frailty phenotype. Covariates were selected to control for potential confounding effects, including sex, age, education, baseline diagnosis of dementia (n=82), vascular dementia (n=41), depression (n=412), and Parkinson’s disease (n=16).</w:t>
      </w:r>
    </w:p>
    <w:p w14:paraId="557D246B"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Model Development: Mechanisms that contribute to the development of cognitive frailty were determined by evaluation of genetic variability, protein and clinical markers as predictors of the development and persistence of cognitive frailty. </w:t>
      </w:r>
      <w:r w:rsidRPr="00B86B4D">
        <w:rPr>
          <w:i/>
          <w:color w:val="000000" w:themeColor="text1"/>
          <w:sz w:val="22"/>
          <w:szCs w:val="22"/>
          <w:u w:val="single"/>
        </w:rPr>
        <w:t>Model I</w:t>
      </w:r>
      <w:r w:rsidRPr="00B86B4D">
        <w:rPr>
          <w:color w:val="000000" w:themeColor="text1"/>
          <w:sz w:val="22"/>
          <w:szCs w:val="22"/>
        </w:rPr>
        <w:t xml:space="preserve"> tested prediction of genetic, protein and clinical markers on cognitive frailty with the use of criteria from the MMSE while </w:t>
      </w:r>
      <w:r w:rsidRPr="00B86B4D">
        <w:rPr>
          <w:i/>
          <w:color w:val="000000" w:themeColor="text1"/>
          <w:sz w:val="22"/>
          <w:szCs w:val="22"/>
          <w:u w:val="single"/>
        </w:rPr>
        <w:t>Model II</w:t>
      </w:r>
      <w:r w:rsidRPr="00B86B4D">
        <w:rPr>
          <w:color w:val="000000" w:themeColor="text1"/>
          <w:sz w:val="22"/>
          <w:szCs w:val="22"/>
        </w:rPr>
        <w:t xml:space="preserve"> tested prediction of genetic, protein, and clinical markers on cognitive frailty with use of additional neuropsychological testing TMT, Part A and B.</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{"citationItems":[{"id":"ITEM-1","itemData":{"DOI":"10.1016/j.acn.2007.11.005.","author":[{"dropping-particle":"","family":"Ashendorf","given":"Lee","non-dropping-particle":"","parse-names":false,"suffix":""},{"dropping-particle":"","family":"Jefferson","given":"Angela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-1","issue":"2","issued":{"date-parts":[["2008"]]},"page":"129-137","title":"Trail Making Test Errors in Normal Aging, Mild Cognitive Impairment, and Dementia","type":"article-journal","volume":"23"},"uris":["http://www.mendeley.com/documents/?uuid=92f1413d-4980-4a2e-a32f-b74fd958ec06","http://www.mendeley.com/documents/?uuid=cebc610d-dda9-464f-9878-38eb777ab20f"]},{"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mendeley":{"formattedCitation":"&lt;sup&gt;24,25&lt;/sup&gt;","plainTextFormattedCitation":"24,25","previouslyFormattedCitation":"&lt;sup&gt;24,25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24,25</w:t>
      </w:r>
      <w:r w:rsidRPr="00B86B4D">
        <w:rPr>
          <w:color w:val="000000" w:themeColor="text1"/>
          <w:sz w:val="22"/>
          <w:szCs w:val="22"/>
        </w:rPr>
        <w:fldChar w:fldCharType="end"/>
      </w:r>
      <w:r w:rsidRPr="00B86B4D">
        <w:rPr>
          <w:color w:val="000000" w:themeColor="text1"/>
          <w:sz w:val="22"/>
          <w:szCs w:val="22"/>
        </w:rPr>
        <w:t xml:space="preserve"> </w:t>
      </w:r>
    </w:p>
    <w:p w14:paraId="3CEAF630"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Using a Boosted Tree Approach for Data Pruning: Boosted trees, a machine learning technique for supervised learning, are ensembles of regression trees, similar to decision trees and are used for prediction or classification. The advantage of using a tree boosting approach model for the evaluation of multiple variables simultaneously is that it provides a high predictive value with low bias.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3cc44097-c45d-4a96-aa33-6ec10b88d92a","http://www.mendeley.com/documents/?uuid=2c1164ff-395f-4b61-85f9-2acaf9ac9000"]}],"mendeley":{"formattedCitation":"&lt;sup&gt;29&lt;/sup&gt;","plainTextFormattedCitation":"29","previouslyFormattedCitation":"&lt;sup&gt;29&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29</w:t>
      </w:r>
      <w:r w:rsidRPr="00B86B4D">
        <w:rPr>
          <w:color w:val="000000" w:themeColor="text1"/>
          <w:sz w:val="22"/>
          <w:szCs w:val="22"/>
        </w:rPr>
        <w:fldChar w:fldCharType="end"/>
      </w:r>
      <w:r w:rsidRPr="00B86B4D">
        <w:rPr>
          <w:color w:val="000000" w:themeColor="text1"/>
          <w:sz w:val="22"/>
          <w:szCs w:val="22"/>
        </w:rPr>
        <w:t xml:space="preserve"> Additionally, parameters are set to prevent over fitting for the models. Extreme Gradient Boosting (</w:t>
      </w:r>
      <w:proofErr w:type="spellStart"/>
      <w:r w:rsidRPr="00B86B4D">
        <w:rPr>
          <w:color w:val="000000" w:themeColor="text1"/>
          <w:sz w:val="22"/>
          <w:szCs w:val="22"/>
        </w:rPr>
        <w:t>xgboost</w:t>
      </w:r>
      <w:proofErr w:type="spellEnd"/>
      <w:r w:rsidRPr="00B86B4D">
        <w:rPr>
          <w:color w:val="000000" w:themeColor="text1"/>
          <w:sz w:val="22"/>
          <w:szCs w:val="22"/>
        </w:rPr>
        <w:t xml:space="preserve">) in R, statistical software, is an effective method for building a reproducible predictive model for the detection of a complex heterogeneous phenotype such as cognitive frailty with large numbers of predictors. </w:t>
      </w:r>
      <w:proofErr w:type="spellStart"/>
      <w:r w:rsidRPr="00B86B4D">
        <w:rPr>
          <w:i/>
          <w:color w:val="000000" w:themeColor="text1"/>
          <w:sz w:val="22"/>
          <w:szCs w:val="22"/>
        </w:rPr>
        <w:t>Xgboost</w:t>
      </w:r>
      <w:proofErr w:type="spellEnd"/>
      <w:r w:rsidRPr="00B86B4D">
        <w:rPr>
          <w:color w:val="000000" w:themeColor="text1"/>
          <w:sz w:val="22"/>
          <w:szCs w:val="22"/>
        </w:rPr>
        <w:t xml:space="preserve"> is based in boosted trees and provides more efficient and accurate predictive modeling with large datasets and a rapid / robust framework for variable selection. Statistical modeling is used to design, test, and validate an accurate method for classifying patients into phenotypic outcomes. The statistical analysis was completed in three steps: 1) analysis of all </w:t>
      </w:r>
      <w:r w:rsidRPr="00B86B4D">
        <w:rPr>
          <w:color w:val="000000" w:themeColor="text1"/>
          <w:sz w:val="22"/>
          <w:szCs w:val="22"/>
        </w:rPr>
        <w:lastRenderedPageBreak/>
        <w:t xml:space="preserve">available variables for feature selection and data reduction, 2) model discovery followed by model validation, and 3) determination of significance in the model features between phenotype and healthy control. </w:t>
      </w:r>
    </w:p>
    <w:p w14:paraId="1CF356B2"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Step 1) The data were randomly divided, two thirds were assigned to the training cohort, and one third was assigned to the validation cohort. One of the features that is central to </w:t>
      </w:r>
      <w:proofErr w:type="spellStart"/>
      <w:r w:rsidRPr="00B86B4D">
        <w:rPr>
          <w:i/>
          <w:color w:val="000000" w:themeColor="text1"/>
          <w:sz w:val="22"/>
          <w:szCs w:val="22"/>
        </w:rPr>
        <w:t>xgboost</w:t>
      </w:r>
      <w:proofErr w:type="spellEnd"/>
      <w:r w:rsidRPr="00B86B4D">
        <w:rPr>
          <w:color w:val="000000" w:themeColor="text1"/>
          <w:sz w:val="22"/>
          <w:szCs w:val="22"/>
        </w:rPr>
        <w:t xml:space="preserve"> is its ability to combine multiple trees or “weak predictors” to reach maximum prediction performance while reducing bias. This approach uses large amounts of data from different aspects of clinical, genetic, and biomarker research, strengthening the models’ generalizability and classification power. </w:t>
      </w:r>
      <w:proofErr w:type="spellStart"/>
      <w:r w:rsidRPr="00B86B4D">
        <w:rPr>
          <w:i/>
          <w:color w:val="000000" w:themeColor="text1"/>
          <w:sz w:val="22"/>
          <w:szCs w:val="22"/>
        </w:rPr>
        <w:t>Xgboost</w:t>
      </w:r>
      <w:proofErr w:type="spellEnd"/>
      <w:r w:rsidRPr="00B86B4D">
        <w:rPr>
          <w:color w:val="000000" w:themeColor="text1"/>
          <w:sz w:val="22"/>
          <w:szCs w:val="22"/>
        </w:rPr>
        <w:t xml:space="preserve"> iteratively re-weighs the variables, taking a weighted majority; the parameters identified after pruning comprised the final predictive model.</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ISSN":"2168-8966","author":[{"dropping-particle":"","family":"Friedman","given":"Jerome","non-dropping-particle":"","parse-names":false,"suffix":""},{"dropping-particle":"","family":"Hastie","given":"Trevor","non-dropping-particle":"","parse-names":false,"suffix":""},{"dropping-particle":"","family":"Tibshirani","given":"Robert","non-dropping-particle":"","parse-names":false,"suffix":""}],"container-title":"The Annals of Statistics","id":"ITEM-1","issue":"2","issued":{"date-parts":[["2000","4","1"]]},"language":"EN","page":"337-407","publisher":"Institute of Mathematical Statistics","title":"Additive logistic regression: a statistical view of boosting (With discussion and a rejoinder by the authors)","type":"article-journal","volume":"28"},"uris":["http://www.mendeley.com/documents/?uuid=cfef9ac8-625b-4a1b-a431-bc58886bfbdc","http://www.mendeley.com/documents/?uuid=36f876e2-557c-4d5b-9a04-6c9386d947d6"]}],"mendeley":{"formattedCitation":"&lt;sup&gt;30&lt;/sup&gt;","plainTextFormattedCitation":"30","previouslyFormattedCitation":"&lt;sup&gt;30&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30</w:t>
      </w:r>
      <w:r w:rsidRPr="00B86B4D">
        <w:rPr>
          <w:color w:val="000000" w:themeColor="text1"/>
          <w:sz w:val="22"/>
          <w:szCs w:val="22"/>
        </w:rPr>
        <w:fldChar w:fldCharType="end"/>
      </w:r>
      <w:r w:rsidRPr="00B86B4D">
        <w:rPr>
          <w:color w:val="000000" w:themeColor="text1"/>
          <w:sz w:val="22"/>
          <w:szCs w:val="22"/>
        </w:rPr>
        <w:t xml:space="preserve"> None of the candidate features in the models are used in the diagnosis of cognitive frailty. This standard technique prevents circularity, overestimation, and over fitting for both the models generated. Parameters for the model include: max depth = “10”, </w:t>
      </w:r>
      <w:proofErr w:type="spellStart"/>
      <w:r w:rsidRPr="00B86B4D">
        <w:rPr>
          <w:color w:val="000000" w:themeColor="text1"/>
          <w:sz w:val="22"/>
          <w:szCs w:val="22"/>
        </w:rPr>
        <w:t>nthread</w:t>
      </w:r>
      <w:proofErr w:type="spellEnd"/>
      <w:r w:rsidRPr="00B86B4D">
        <w:rPr>
          <w:color w:val="000000" w:themeColor="text1"/>
          <w:sz w:val="22"/>
          <w:szCs w:val="22"/>
        </w:rPr>
        <w:t xml:space="preserve"> = “12”, </w:t>
      </w:r>
      <w:proofErr w:type="spellStart"/>
      <w:r w:rsidRPr="00B86B4D">
        <w:rPr>
          <w:color w:val="000000" w:themeColor="text1"/>
          <w:sz w:val="22"/>
          <w:szCs w:val="22"/>
        </w:rPr>
        <w:t>nrounds</w:t>
      </w:r>
      <w:proofErr w:type="spellEnd"/>
      <w:r w:rsidRPr="00B86B4D">
        <w:rPr>
          <w:color w:val="000000" w:themeColor="text1"/>
          <w:sz w:val="22"/>
          <w:szCs w:val="22"/>
        </w:rPr>
        <w:t xml:space="preserve"> = 5-200, objective = “</w:t>
      </w:r>
      <w:proofErr w:type="spellStart"/>
      <w:r w:rsidRPr="00B86B4D">
        <w:rPr>
          <w:color w:val="000000" w:themeColor="text1"/>
          <w:sz w:val="22"/>
          <w:szCs w:val="22"/>
        </w:rPr>
        <w:t>binary:logistic</w:t>
      </w:r>
      <w:proofErr w:type="spellEnd"/>
      <w:r w:rsidRPr="00B86B4D">
        <w:rPr>
          <w:color w:val="000000" w:themeColor="text1"/>
          <w:sz w:val="22"/>
          <w:szCs w:val="22"/>
        </w:rPr>
        <w:t>”, evaluation metric = “</w:t>
      </w:r>
      <w:proofErr w:type="spellStart"/>
      <w:r w:rsidRPr="00B86B4D">
        <w:rPr>
          <w:color w:val="000000" w:themeColor="text1"/>
          <w:sz w:val="22"/>
          <w:szCs w:val="22"/>
        </w:rPr>
        <w:t>auc</w:t>
      </w:r>
      <w:proofErr w:type="spellEnd"/>
      <w:r w:rsidRPr="00B86B4D">
        <w:rPr>
          <w:color w:val="000000" w:themeColor="text1"/>
          <w:sz w:val="22"/>
          <w:szCs w:val="22"/>
        </w:rPr>
        <w:t xml:space="preserve">”, silent =”1”, gamma = default =“0” to control the number of trees, and eta default= “0.3” to prevent over fitting. We used the default setting for all other parameters which can be found in the </w:t>
      </w:r>
      <w:proofErr w:type="spellStart"/>
      <w:r w:rsidRPr="00B86B4D">
        <w:rPr>
          <w:i/>
          <w:color w:val="000000" w:themeColor="text1"/>
          <w:sz w:val="22"/>
          <w:szCs w:val="22"/>
        </w:rPr>
        <w:t>xgboost</w:t>
      </w:r>
      <w:proofErr w:type="spellEnd"/>
      <w:r w:rsidRPr="00B86B4D">
        <w:rPr>
          <w:color w:val="000000" w:themeColor="text1"/>
          <w:sz w:val="22"/>
          <w:szCs w:val="22"/>
        </w:rPr>
        <w:t xml:space="preserve"> 0.6 documentation.</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3cc44097-c45d-4a96-aa33-6ec10b88d92a","http://www.mendeley.com/documents/?uuid=0f881da2-ff65-3941-bd4b-06a6af48e257"]}],"mendeley":{"formattedCitation":"&lt;sup&gt;14&lt;/sup&gt;","plainTextFormattedCitation":"14","previouslyFormattedCitation":"&lt;sup&gt;14&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14</w:t>
      </w:r>
      <w:r w:rsidRPr="00B86B4D">
        <w:rPr>
          <w:color w:val="000000" w:themeColor="text1"/>
          <w:sz w:val="22"/>
          <w:szCs w:val="22"/>
        </w:rPr>
        <w:fldChar w:fldCharType="end"/>
      </w:r>
      <w:r w:rsidRPr="00B86B4D">
        <w:rPr>
          <w:color w:val="000000" w:themeColor="text1"/>
          <w:sz w:val="22"/>
          <w:szCs w:val="22"/>
        </w:rPr>
        <w:t xml:space="preserve"> The </w:t>
      </w:r>
      <w:proofErr w:type="spellStart"/>
      <w:r w:rsidRPr="00B86B4D">
        <w:rPr>
          <w:i/>
          <w:color w:val="000000" w:themeColor="text1"/>
          <w:sz w:val="22"/>
          <w:szCs w:val="22"/>
        </w:rPr>
        <w:t>xgboost</w:t>
      </w:r>
      <w:proofErr w:type="spellEnd"/>
      <w:r w:rsidRPr="00B86B4D">
        <w:rPr>
          <w:color w:val="000000" w:themeColor="text1"/>
          <w:sz w:val="22"/>
          <w:szCs w:val="22"/>
        </w:rPr>
        <w:t xml:space="preserve"> algorithm iteratively determines the maximum function of a model based on a tree building algorithm (quadratic problem) which creates a node then assigns a prediction point to each leaf; the assigned number is termed “gain” (figure 1). Once the model has reached maximum depth, pruning occurs by taking out the nodes with a negative gain and keeping those with a positive gain. Results from the population predictive model are ranked by gain which is a metric based on each feature’s contribution in the model. When comparing top features to other features in the model, the higher the gain the more important the feature is for prediction of the outcome. </w:t>
      </w:r>
      <w:r w:rsidRPr="00B86B4D">
        <w:rPr>
          <w:i/>
          <w:color w:val="000000" w:themeColor="text1"/>
          <w:sz w:val="22"/>
          <w:szCs w:val="22"/>
        </w:rPr>
        <w:t>Cover</w:t>
      </w:r>
      <w:r w:rsidRPr="00B86B4D">
        <w:rPr>
          <w:color w:val="000000" w:themeColor="text1"/>
          <w:sz w:val="22"/>
          <w:szCs w:val="22"/>
        </w:rPr>
        <w:t xml:space="preserve"> is a measure of the relative quantity of observations found by one feature and </w:t>
      </w:r>
      <w:r w:rsidRPr="00B86B4D">
        <w:rPr>
          <w:i/>
          <w:color w:val="000000" w:themeColor="text1"/>
          <w:sz w:val="22"/>
          <w:szCs w:val="22"/>
        </w:rPr>
        <w:t>frequency</w:t>
      </w:r>
      <w:r w:rsidRPr="00B86B4D">
        <w:rPr>
          <w:color w:val="000000" w:themeColor="text1"/>
          <w:sz w:val="22"/>
          <w:szCs w:val="22"/>
        </w:rPr>
        <w:t xml:space="preserve"> is the percentage representing the relative number of time a feature is used in the trees of the model.</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3cc44097-c45d-4a96-aa33-6ec10b88d92a","http://www.mendeley.com/documents/?uuid=0f881da2-ff65-3941-bd4b-06a6af48e257"]}],"mendeley":{"formattedCitation":"&lt;sup&gt;14&lt;/sup&gt;","plainTextFormattedCitation":"14","previouslyFormattedCitation":"&lt;sup&gt;14&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14</w:t>
      </w:r>
      <w:r w:rsidRPr="00B86B4D">
        <w:rPr>
          <w:color w:val="000000" w:themeColor="text1"/>
          <w:sz w:val="22"/>
          <w:szCs w:val="22"/>
        </w:rPr>
        <w:fldChar w:fldCharType="end"/>
      </w:r>
      <w:r w:rsidRPr="00B86B4D">
        <w:rPr>
          <w:color w:val="000000" w:themeColor="text1"/>
          <w:sz w:val="22"/>
          <w:szCs w:val="22"/>
        </w:rPr>
        <w:t xml:space="preserve"> Gain is the most relevant metric to interpreting the rank and importance of each feature. </w:t>
      </w:r>
    </w:p>
    <w:p w14:paraId="3E51BA8A"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shd w:val="clear" w:color="auto" w:fill="FFFFFF"/>
        </w:rPr>
        <w:t xml:space="preserve">     Step 2. To evaluate the models, we used the evaluation metric </w:t>
      </w:r>
      <w:r w:rsidRPr="00B86B4D">
        <w:rPr>
          <w:color w:val="000000" w:themeColor="text1"/>
          <w:sz w:val="22"/>
          <w:szCs w:val="22"/>
        </w:rPr>
        <w:t>area under the curve</w:t>
      </w:r>
      <w:r w:rsidRPr="00B86B4D">
        <w:rPr>
          <w:color w:val="000000" w:themeColor="text1"/>
          <w:sz w:val="22"/>
          <w:szCs w:val="22"/>
          <w:shd w:val="clear" w:color="auto" w:fill="FFFFFF"/>
        </w:rPr>
        <w:t xml:space="preserve"> (</w:t>
      </w:r>
      <w:r w:rsidRPr="00B86B4D">
        <w:rPr>
          <w:color w:val="000000" w:themeColor="text1"/>
          <w:sz w:val="22"/>
          <w:szCs w:val="22"/>
        </w:rPr>
        <w:t xml:space="preserve">AUC). AUC were calculated from each model and used to determine discrimination of participants with cognitive frailty (case) from healthy individuals (control) in the training cohort. An AUC of 0.5 was considered chance, &gt; 0.8 informative, and &gt; 0.9 clinically relevant. </w:t>
      </w:r>
    </w:p>
    <w:p w14:paraId="606E0BBC"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Step 3. Univariate analysis, </w:t>
      </w:r>
      <w:r w:rsidRPr="00B86B4D">
        <w:rPr>
          <w:i/>
          <w:iCs/>
          <w:color w:val="000000" w:themeColor="text1"/>
          <w:sz w:val="22"/>
          <w:szCs w:val="22"/>
          <w:bdr w:val="none" w:sz="0" w:space="0" w:color="auto" w:frame="1"/>
          <w:shd w:val="clear" w:color="auto" w:fill="FFFFFF"/>
        </w:rPr>
        <w:t>t-</w:t>
      </w:r>
      <w:r w:rsidRPr="00B86B4D">
        <w:rPr>
          <w:color w:val="000000" w:themeColor="text1"/>
          <w:sz w:val="22"/>
          <w:szCs w:val="22"/>
          <w:shd w:val="clear" w:color="auto" w:fill="FFFFFF"/>
        </w:rPr>
        <w:t xml:space="preserve">tests for continuous and chi-squared tests for binomial traits, were used to determine the significance of the predictor with a Bonferroni correction (to account for multiple comparisons). Of note, no further adjustment for multiple comparison was carried out due to the exploratory, hypothesis-generating nature of this study to protect against type II error (false negative) rather than type I. </w:t>
      </w:r>
      <w:r w:rsidRPr="00B86B4D">
        <w:rPr>
          <w:color w:val="000000" w:themeColor="text1"/>
          <w:sz w:val="22"/>
          <w:szCs w:val="22"/>
        </w:rPr>
        <w:t>To evaluate additive effects of SNPs, a positive regression coefficient means that each copy of the allele of interest increases the risk for the cognitive frailty phenotype.</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{"citationItems":[{"id":"ITEM-1","itemData":{"author":[{"dropping-particle":"","family":"Purcell, S, Neale, B, Todd-Brown, K, Thomas, L, Ferreira, MAR, Bender, D, Maller, J, Sklar, P, de Bakker, PIW, Daly, MJ, Sham","given":"PC","non-dropping-particle":"","parse-names":false,"suffix":""}],"container-title":"American Journal of Human Genetics","id":"ITEM-1","issued":{"date-parts":[["2007"]]},"title":"PLINK: a toolset for whole-genome association and population-based linkage analysis","type":"article-journal","volume":"81"},"uris":["http://www.mendeley.com/documents/?uuid=ec561dc7-47b6-4d15-aae0-1cc7e509b880","http://www.mendeley.com/documents/?uuid=62626b57-c9ea-4efa-a3ba-4713f928c736"]}],"mendeley":{"formattedCitation":"&lt;sup&gt;31&lt;/sup&gt;","plainTextFormattedCitation":"31","previouslyFormattedCitation":"&lt;sup&gt;31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31</w:t>
      </w:r>
      <w:r w:rsidRPr="00B86B4D">
        <w:rPr>
          <w:color w:val="000000" w:themeColor="text1"/>
          <w:sz w:val="22"/>
          <w:szCs w:val="22"/>
        </w:rPr>
        <w:fldChar w:fldCharType="end"/>
      </w:r>
      <w:r w:rsidRPr="00B86B4D">
        <w:rPr>
          <w:color w:val="000000" w:themeColor="text1"/>
          <w:sz w:val="22"/>
          <w:szCs w:val="22"/>
        </w:rPr>
        <w:t xml:space="preserve"> </w:t>
      </w:r>
      <w:r w:rsidRPr="00B86B4D">
        <w:rPr>
          <w:color w:val="000000" w:themeColor="text1"/>
          <w:sz w:val="22"/>
          <w:szCs w:val="22"/>
          <w:shd w:val="clear" w:color="auto" w:fill="FFFFFF"/>
        </w:rPr>
        <w:t xml:space="preserve">Our study used the high-performance computational capabilities of the </w:t>
      </w:r>
      <w:proofErr w:type="spellStart"/>
      <w:r w:rsidRPr="00B86B4D">
        <w:rPr>
          <w:color w:val="000000" w:themeColor="text1"/>
          <w:sz w:val="22"/>
          <w:szCs w:val="22"/>
          <w:shd w:val="clear" w:color="auto" w:fill="FFFFFF"/>
        </w:rPr>
        <w:t>Biowulf</w:t>
      </w:r>
      <w:proofErr w:type="spellEnd"/>
      <w:r w:rsidRPr="00B86B4D">
        <w:rPr>
          <w:color w:val="000000" w:themeColor="text1"/>
          <w:sz w:val="22"/>
          <w:szCs w:val="22"/>
          <w:shd w:val="clear" w:color="auto" w:fill="FFFFFF"/>
        </w:rPr>
        <w:t xml:space="preserve"> Linux cluster at the National Institutes of Health (Bethesda, MD, USA).</w:t>
      </w:r>
      <w:r w:rsidRPr="00B86B4D">
        <w:rPr>
          <w:color w:val="000000" w:themeColor="text1"/>
          <w:sz w:val="22"/>
          <w:szCs w:val="22"/>
        </w:rPr>
        <w:t xml:space="preserve"> </w:t>
      </w:r>
    </w:p>
    <w:p w14:paraId="4C1BB718" w14:textId="310DEA17" w:rsidR="004E453C" w:rsidRDefault="00AF1727" w:rsidP="00F824C4">
      <w:pPr>
        <w:spacing w:line="360" w:lineRule="auto"/>
        <w:rPr>
          <w:color w:val="000000" w:themeColor="text1"/>
          <w:sz w:val="22"/>
          <w:szCs w:val="22"/>
        </w:rPr>
      </w:pPr>
      <w:r w:rsidRPr="00B86B4D">
        <w:rPr>
          <w:color w:val="000000" w:themeColor="text1"/>
          <w:sz w:val="22"/>
          <w:szCs w:val="22"/>
          <w:shd w:val="clear" w:color="auto" w:fill="FFFFFF"/>
        </w:rPr>
        <w:t xml:space="preserve">     </w:t>
      </w:r>
      <w:r w:rsidR="009A3767" w:rsidRPr="00B86B4D">
        <w:rPr>
          <w:color w:val="000000" w:themeColor="text1"/>
          <w:sz w:val="22"/>
          <w:szCs w:val="22"/>
          <w:shd w:val="clear" w:color="auto" w:fill="FFFFFF"/>
        </w:rPr>
        <w:t>Boosted ML models use “</w:t>
      </w:r>
      <w:proofErr w:type="spellStart"/>
      <w:r w:rsidR="009A3767" w:rsidRPr="00B86B4D">
        <w:rPr>
          <w:color w:val="000000" w:themeColor="text1"/>
          <w:sz w:val="22"/>
          <w:szCs w:val="22"/>
          <w:shd w:val="clear" w:color="auto" w:fill="FFFFFF"/>
        </w:rPr>
        <w:t>ensembling</w:t>
      </w:r>
      <w:proofErr w:type="spellEnd"/>
      <w:r w:rsidR="009A3767" w:rsidRPr="00B86B4D">
        <w:rPr>
          <w:color w:val="000000" w:themeColor="text1"/>
          <w:sz w:val="22"/>
          <w:szCs w:val="22"/>
          <w:shd w:val="clear" w:color="auto" w:fill="FFFFFF"/>
        </w:rPr>
        <w:t>”, a technique that can combine many independent predictors to model interacting systems and determine the top combined predictive factors associated with cognitive frailty.</w:t>
      </w:r>
      <w:r w:rsidR="009A3767" w:rsidRPr="00B86B4D">
        <w:rPr>
          <w:color w:val="000000" w:themeColor="text1"/>
          <w:sz w:val="22"/>
          <w:szCs w:val="22"/>
          <w:shd w:val="clear" w:color="auto" w:fill="FFFFFF"/>
        </w:rPr>
        <w:fldChar w:fldCharType="begin" w:fldLock="1"/>
      </w:r>
      <w:r w:rsidR="009A3767" w:rsidRPr="00B86B4D">
        <w:rPr>
          <w:color w:val="000000" w:themeColor="text1"/>
          <w:sz w:val="22"/>
          <w:szCs w:val="22"/>
          <w:shd w:val="clear" w:color="auto" w:fill="FFFFFF"/>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0f881da2-ff65-3941-bd4b-06a6af48e257","http://www.mendeley.com/documents/?uuid=3cc44097-c45d-4a96-aa33-6ec10b88d92a"]}],"mendeley":{"formattedCitation":"&lt;sup&gt;17&lt;/sup&gt;","plainTextFormattedCitation":"17","previouslyFormattedCitation":"&lt;sup&gt;17&lt;/sup&gt;"},"properties":{"noteIndex":0},"schema":"https://github.com/citation-style-language/schema/raw/master/csl-citation.json"}</w:instrText>
      </w:r>
      <w:r w:rsidR="009A3767" w:rsidRPr="00B86B4D">
        <w:rPr>
          <w:color w:val="000000" w:themeColor="text1"/>
          <w:sz w:val="22"/>
          <w:szCs w:val="22"/>
          <w:shd w:val="clear" w:color="auto" w:fill="FFFFFF"/>
        </w:rPr>
        <w:fldChar w:fldCharType="separate"/>
      </w:r>
      <w:r w:rsidR="009A3767" w:rsidRPr="00B86B4D">
        <w:rPr>
          <w:noProof/>
          <w:color w:val="000000" w:themeColor="text1"/>
          <w:sz w:val="22"/>
          <w:szCs w:val="22"/>
          <w:shd w:val="clear" w:color="auto" w:fill="FFFFFF"/>
          <w:vertAlign w:val="superscript"/>
        </w:rPr>
        <w:t>17</w:t>
      </w:r>
      <w:r w:rsidR="009A3767" w:rsidRPr="00B86B4D">
        <w:rPr>
          <w:color w:val="000000" w:themeColor="text1"/>
          <w:sz w:val="22"/>
          <w:szCs w:val="22"/>
          <w:shd w:val="clear" w:color="auto" w:fill="FFFFFF"/>
        </w:rPr>
        <w:fldChar w:fldCharType="end"/>
      </w:r>
      <w:r w:rsidR="009A3767" w:rsidRPr="00B86B4D">
        <w:rPr>
          <w:color w:val="000000" w:themeColor="text1"/>
          <w:sz w:val="22"/>
          <w:szCs w:val="22"/>
          <w:shd w:val="clear" w:color="auto" w:fill="FFFFFF"/>
        </w:rPr>
        <w:t xml:space="preserve"> </w:t>
      </w:r>
      <w:r w:rsidR="009A3767" w:rsidRPr="00B86B4D">
        <w:rPr>
          <w:color w:val="000000" w:themeColor="text1"/>
          <w:sz w:val="22"/>
          <w:szCs w:val="22"/>
        </w:rPr>
        <w:t>At least in theory, the determination of genetic and biological markers that define a clinical group should facilitate a better understanding of the interrelated pathology for cognitive impairment and physical frailty and promote new ideas for understanding complex interacting biological systems.</w:t>
      </w:r>
      <w:r w:rsidR="009A3767" w:rsidRPr="00B86B4D">
        <w:rPr>
          <w:color w:val="000000" w:themeColor="text1"/>
          <w:sz w:val="22"/>
          <w:szCs w:val="22"/>
          <w:shd w:val="clear" w:color="auto" w:fill="FFFFFF"/>
        </w:rPr>
        <w:t xml:space="preserve"> </w:t>
      </w:r>
      <w:r w:rsidR="00BE5BEB" w:rsidRPr="00B86B4D">
        <w:rPr>
          <w:color w:val="000000" w:themeColor="text1"/>
          <w:sz w:val="22"/>
          <w:szCs w:val="22"/>
          <w:shd w:val="clear" w:color="auto" w:fill="FFFFFF"/>
        </w:rPr>
        <w:t xml:space="preserve">The ML boosted model employs an unbiased logic that does not make assumptions about the relationship among predictors or apply weights in the scoring system. Boosting is an </w:t>
      </w:r>
      <w:proofErr w:type="spellStart"/>
      <w:r w:rsidR="00BE5BEB" w:rsidRPr="00B86B4D">
        <w:rPr>
          <w:color w:val="000000" w:themeColor="text1"/>
          <w:sz w:val="22"/>
          <w:szCs w:val="22"/>
          <w:shd w:val="clear" w:color="auto" w:fill="FFFFFF"/>
        </w:rPr>
        <w:t>ensembling</w:t>
      </w:r>
      <w:proofErr w:type="spellEnd"/>
      <w:r w:rsidR="00BE5BEB" w:rsidRPr="00B86B4D">
        <w:rPr>
          <w:color w:val="000000" w:themeColor="text1"/>
          <w:sz w:val="22"/>
          <w:szCs w:val="22"/>
          <w:shd w:val="clear" w:color="auto" w:fill="FFFFFF"/>
        </w:rPr>
        <w:t xml:space="preserve"> technique that employs a sequential algorithm which repetitively learns and improves as the model reaches a final prediction.</w:t>
      </w:r>
      <w:r w:rsidR="00BD4B61" w:rsidRPr="00B86B4D">
        <w:rPr>
          <w:color w:val="000000" w:themeColor="text1"/>
          <w:sz w:val="22"/>
          <w:szCs w:val="22"/>
          <w:shd w:val="clear" w:color="auto" w:fill="FFFFFF"/>
        </w:rPr>
        <w:t xml:space="preserve"> </w:t>
      </w:r>
      <w:r w:rsidR="00BD4B61" w:rsidRPr="00B86B4D">
        <w:rPr>
          <w:color w:val="000000" w:themeColor="text1"/>
          <w:sz w:val="22"/>
          <w:szCs w:val="22"/>
        </w:rPr>
        <w:t xml:space="preserve">Parameter </w:t>
      </w:r>
      <w:r w:rsidR="00BD4B61" w:rsidRPr="00B86B4D">
        <w:rPr>
          <w:color w:val="000000" w:themeColor="text1"/>
          <w:sz w:val="22"/>
          <w:szCs w:val="22"/>
        </w:rPr>
        <w:lastRenderedPageBreak/>
        <w:t>estimates for each predictive factor and associated descriptive statistics were evaluated to provide biological insight into the underpinnings of the classification algorithm.</w:t>
      </w:r>
    </w:p>
    <w:p w14:paraId="7DDA49B2" w14:textId="3A4A2D99" w:rsidR="007B57B8" w:rsidRDefault="007B57B8" w:rsidP="00F824C4">
      <w:pPr>
        <w:spacing w:line="360" w:lineRule="auto"/>
        <w:rPr>
          <w:color w:val="000000" w:themeColor="text1"/>
          <w:sz w:val="22"/>
          <w:szCs w:val="22"/>
        </w:rPr>
      </w:pPr>
    </w:p>
    <w:p w14:paraId="5DE0C627" w14:textId="5111CDE5" w:rsidR="007B57B8" w:rsidRPr="00F279AF" w:rsidRDefault="007B57B8" w:rsidP="007B57B8">
      <w:pPr>
        <w:spacing w:line="360" w:lineRule="auto"/>
        <w:rPr>
          <w:b/>
          <w:color w:val="000000" w:themeColor="text1"/>
          <w:sz w:val="22"/>
          <w:szCs w:val="22"/>
        </w:rPr>
      </w:pPr>
      <w:r w:rsidRPr="00F279AF">
        <w:rPr>
          <w:b/>
          <w:color w:val="000000" w:themeColor="text1"/>
          <w:sz w:val="22"/>
          <w:szCs w:val="22"/>
        </w:rPr>
        <w:t xml:space="preserve">Table I. Sample characteristics of participants by phenotype </w:t>
      </w:r>
      <w:r w:rsidR="00503924">
        <w:rPr>
          <w:b/>
          <w:color w:val="000000" w:themeColor="text1"/>
          <w:sz w:val="22"/>
          <w:szCs w:val="22"/>
        </w:rPr>
        <w:t>and cognitive measure</w:t>
      </w:r>
    </w:p>
    <w:tbl>
      <w:tblPr>
        <w:tblW w:w="0" w:type="auto"/>
        <w:tblInd w:w="-30" w:type="dxa"/>
        <w:tblLayout w:type="fixed"/>
        <w:tblLook w:val="0000" w:firstRow="0" w:lastRow="0" w:firstColumn="0" w:lastColumn="0" w:noHBand="0" w:noVBand="0"/>
      </w:tblPr>
      <w:tblGrid>
        <w:gridCol w:w="3715"/>
        <w:gridCol w:w="1800"/>
        <w:gridCol w:w="2435"/>
        <w:gridCol w:w="2250"/>
      </w:tblGrid>
      <w:tr w:rsidR="007B57B8" w:rsidRPr="00F279AF" w14:paraId="26EB91DF" w14:textId="77777777" w:rsidTr="00125B19">
        <w:trPr>
          <w:trHeight w:val="881"/>
        </w:trPr>
        <w:tc>
          <w:tcPr>
            <w:tcW w:w="3715" w:type="dxa"/>
            <w:tcBorders>
              <w:top w:val="single" w:sz="4" w:space="0" w:color="auto"/>
              <w:bottom w:val="single" w:sz="4" w:space="0" w:color="auto"/>
            </w:tcBorders>
            <w:vAlign w:val="bottom"/>
          </w:tcPr>
          <w:p w14:paraId="131E9D2A" w14:textId="77777777" w:rsidR="007B57B8" w:rsidRPr="00F279AF" w:rsidRDefault="007B57B8" w:rsidP="00125B19">
            <w:pPr>
              <w:autoSpaceDE w:val="0"/>
              <w:autoSpaceDN w:val="0"/>
              <w:adjustRightInd w:val="0"/>
              <w:spacing w:line="360" w:lineRule="auto"/>
              <w:rPr>
                <w:color w:val="000000" w:themeColor="text1"/>
                <w:sz w:val="22"/>
                <w:szCs w:val="22"/>
              </w:rPr>
            </w:pPr>
          </w:p>
        </w:tc>
        <w:tc>
          <w:tcPr>
            <w:tcW w:w="1800" w:type="dxa"/>
            <w:tcBorders>
              <w:top w:val="single" w:sz="4" w:space="0" w:color="auto"/>
              <w:bottom w:val="single" w:sz="4" w:space="0" w:color="auto"/>
            </w:tcBorders>
          </w:tcPr>
          <w:p w14:paraId="18800351" w14:textId="77777777" w:rsidR="007B57B8" w:rsidRPr="00F279AF" w:rsidRDefault="007B57B8" w:rsidP="00125B19">
            <w:pPr>
              <w:spacing w:line="360" w:lineRule="auto"/>
              <w:jc w:val="center"/>
              <w:rPr>
                <w:color w:val="000000" w:themeColor="text1"/>
                <w:sz w:val="22"/>
                <w:szCs w:val="22"/>
              </w:rPr>
            </w:pPr>
            <w:r w:rsidRPr="00F279AF">
              <w:rPr>
                <w:color w:val="000000" w:themeColor="text1"/>
                <w:sz w:val="22"/>
                <w:szCs w:val="22"/>
              </w:rPr>
              <w:t>Cognitive Frailty</w:t>
            </w:r>
          </w:p>
          <w:p w14:paraId="020BF09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(MMSE)</w:t>
            </w:r>
          </w:p>
        </w:tc>
        <w:tc>
          <w:tcPr>
            <w:tcW w:w="2435" w:type="dxa"/>
            <w:tcBorders>
              <w:top w:val="single" w:sz="4" w:space="0" w:color="auto"/>
              <w:bottom w:val="single" w:sz="4" w:space="0" w:color="auto"/>
            </w:tcBorders>
            <w:vAlign w:val="center"/>
          </w:tcPr>
          <w:p w14:paraId="1F1A03F0" w14:textId="77777777" w:rsidR="007B57B8" w:rsidRPr="00F279AF" w:rsidRDefault="007B57B8" w:rsidP="00125B19">
            <w:pPr>
              <w:spacing w:line="360" w:lineRule="auto"/>
              <w:jc w:val="center"/>
              <w:rPr>
                <w:color w:val="000000" w:themeColor="text1"/>
                <w:sz w:val="22"/>
                <w:szCs w:val="22"/>
              </w:rPr>
            </w:pPr>
            <w:r w:rsidRPr="00F279AF">
              <w:rPr>
                <w:color w:val="000000" w:themeColor="text1"/>
                <w:sz w:val="22"/>
                <w:szCs w:val="22"/>
              </w:rPr>
              <w:t>Cognitive Frailty</w:t>
            </w:r>
          </w:p>
          <w:p w14:paraId="4415C650"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(Trail-A)</w:t>
            </w:r>
          </w:p>
          <w:p w14:paraId="1265B76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Borders>
              <w:top w:val="single" w:sz="4" w:space="0" w:color="auto"/>
              <w:bottom w:val="single" w:sz="4" w:space="0" w:color="auto"/>
            </w:tcBorders>
          </w:tcPr>
          <w:p w14:paraId="633A3ADE" w14:textId="77777777" w:rsidR="007B57B8" w:rsidRPr="00F279AF" w:rsidRDefault="007B57B8" w:rsidP="00125B19">
            <w:pPr>
              <w:spacing w:line="360" w:lineRule="auto"/>
              <w:jc w:val="center"/>
              <w:rPr>
                <w:color w:val="000000" w:themeColor="text1"/>
                <w:sz w:val="22"/>
                <w:szCs w:val="22"/>
              </w:rPr>
            </w:pPr>
            <w:r w:rsidRPr="00F279AF">
              <w:rPr>
                <w:color w:val="000000" w:themeColor="text1"/>
                <w:sz w:val="22"/>
                <w:szCs w:val="22"/>
              </w:rPr>
              <w:t>Cognitive Frailty</w:t>
            </w:r>
          </w:p>
          <w:p w14:paraId="4BF13CED"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 xml:space="preserve">(Trail-B) </w:t>
            </w:r>
          </w:p>
          <w:p w14:paraId="00BB279E"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63BF280A" w14:textId="77777777" w:rsidTr="00125B19">
        <w:trPr>
          <w:trHeight w:val="288"/>
        </w:trPr>
        <w:tc>
          <w:tcPr>
            <w:tcW w:w="3715" w:type="dxa"/>
            <w:tcBorders>
              <w:top w:val="single" w:sz="4" w:space="0" w:color="auto"/>
            </w:tcBorders>
            <w:vAlign w:val="bottom"/>
          </w:tcPr>
          <w:p w14:paraId="3647D7B4"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Phenotype (n)</w:t>
            </w:r>
          </w:p>
        </w:tc>
        <w:tc>
          <w:tcPr>
            <w:tcW w:w="1800" w:type="dxa"/>
            <w:tcBorders>
              <w:top w:val="single" w:sz="4" w:space="0" w:color="auto"/>
            </w:tcBorders>
          </w:tcPr>
          <w:p w14:paraId="7D2AE280" w14:textId="77777777" w:rsidR="007B57B8" w:rsidRPr="00F279AF" w:rsidRDefault="007B57B8" w:rsidP="00125B19">
            <w:pPr>
              <w:jc w:val="center"/>
              <w:rPr>
                <w:color w:val="000000" w:themeColor="text1"/>
                <w:sz w:val="22"/>
                <w:szCs w:val="22"/>
              </w:rPr>
            </w:pPr>
            <w:r w:rsidRPr="00F279AF">
              <w:rPr>
                <w:color w:val="000000" w:themeColor="text1"/>
                <w:sz w:val="22"/>
                <w:szCs w:val="22"/>
              </w:rPr>
              <w:t>(n=257)</w:t>
            </w:r>
          </w:p>
        </w:tc>
        <w:tc>
          <w:tcPr>
            <w:tcW w:w="2435" w:type="dxa"/>
            <w:tcBorders>
              <w:top w:val="single" w:sz="4" w:space="0" w:color="auto"/>
            </w:tcBorders>
          </w:tcPr>
          <w:p w14:paraId="71404361" w14:textId="77777777" w:rsidR="007B57B8" w:rsidRPr="00F279AF" w:rsidRDefault="007B57B8" w:rsidP="00125B19">
            <w:pPr>
              <w:jc w:val="center"/>
              <w:rPr>
                <w:color w:val="000000" w:themeColor="text1"/>
                <w:sz w:val="22"/>
                <w:szCs w:val="22"/>
              </w:rPr>
            </w:pPr>
            <w:r w:rsidRPr="00F279AF">
              <w:rPr>
                <w:color w:val="000000" w:themeColor="text1"/>
                <w:sz w:val="22"/>
                <w:szCs w:val="22"/>
              </w:rPr>
              <w:t>(n=302)</w:t>
            </w:r>
          </w:p>
        </w:tc>
        <w:tc>
          <w:tcPr>
            <w:tcW w:w="2250" w:type="dxa"/>
            <w:tcBorders>
              <w:top w:val="single" w:sz="4" w:space="0" w:color="auto"/>
            </w:tcBorders>
          </w:tcPr>
          <w:p w14:paraId="4965DC3F" w14:textId="77777777" w:rsidR="007B57B8" w:rsidRPr="00F279AF" w:rsidRDefault="007B57B8" w:rsidP="00125B19">
            <w:pPr>
              <w:jc w:val="center"/>
              <w:rPr>
                <w:color w:val="000000" w:themeColor="text1"/>
                <w:sz w:val="22"/>
                <w:szCs w:val="22"/>
              </w:rPr>
            </w:pPr>
            <w:r w:rsidRPr="00F279AF">
              <w:rPr>
                <w:color w:val="000000" w:themeColor="text1"/>
                <w:sz w:val="22"/>
                <w:szCs w:val="22"/>
              </w:rPr>
              <w:t>(n=325)</w:t>
            </w:r>
          </w:p>
        </w:tc>
      </w:tr>
      <w:tr w:rsidR="007B57B8" w:rsidRPr="00F279AF" w14:paraId="1FB2FD9D" w14:textId="77777777" w:rsidTr="00125B19">
        <w:trPr>
          <w:trHeight w:val="288"/>
        </w:trPr>
        <w:tc>
          <w:tcPr>
            <w:tcW w:w="3715" w:type="dxa"/>
          </w:tcPr>
          <w:p w14:paraId="376FE897"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 xml:space="preserve">Age, </w:t>
            </w:r>
            <w:r w:rsidRPr="00F279AF">
              <w:rPr>
                <w:color w:val="000000" w:themeColor="text1"/>
                <w:sz w:val="22"/>
                <w:szCs w:val="22"/>
              </w:rPr>
              <w:t>mean (SD)</w:t>
            </w:r>
          </w:p>
        </w:tc>
        <w:tc>
          <w:tcPr>
            <w:tcW w:w="1800" w:type="dxa"/>
            <w:vAlign w:val="center"/>
          </w:tcPr>
          <w:p w14:paraId="5B3AC457" w14:textId="77777777" w:rsidR="007B57B8" w:rsidRPr="00F279AF" w:rsidRDefault="007B57B8" w:rsidP="00125B19">
            <w:pPr>
              <w:spacing w:line="360" w:lineRule="auto"/>
              <w:jc w:val="center"/>
              <w:rPr>
                <w:color w:val="000000" w:themeColor="text1"/>
                <w:sz w:val="22"/>
                <w:szCs w:val="22"/>
              </w:rPr>
            </w:pPr>
          </w:p>
        </w:tc>
        <w:tc>
          <w:tcPr>
            <w:tcW w:w="2435" w:type="dxa"/>
          </w:tcPr>
          <w:p w14:paraId="788B357D"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Pr>
          <w:p w14:paraId="0F8FEE3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008968D5" w14:textId="77777777" w:rsidTr="00125B19">
        <w:trPr>
          <w:trHeight w:val="288"/>
        </w:trPr>
        <w:tc>
          <w:tcPr>
            <w:tcW w:w="3715" w:type="dxa"/>
          </w:tcPr>
          <w:p w14:paraId="30B84202"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Control</w:t>
            </w:r>
          </w:p>
        </w:tc>
        <w:tc>
          <w:tcPr>
            <w:tcW w:w="1800" w:type="dxa"/>
          </w:tcPr>
          <w:p w14:paraId="27C915A1"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73 (6.4)</w:t>
            </w:r>
          </w:p>
        </w:tc>
        <w:tc>
          <w:tcPr>
            <w:tcW w:w="2435" w:type="dxa"/>
          </w:tcPr>
          <w:p w14:paraId="684F7F3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64 (15.6)</w:t>
            </w:r>
          </w:p>
        </w:tc>
        <w:tc>
          <w:tcPr>
            <w:tcW w:w="2250" w:type="dxa"/>
          </w:tcPr>
          <w:p w14:paraId="4CD0C7A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61 (16.2)</w:t>
            </w:r>
          </w:p>
        </w:tc>
      </w:tr>
      <w:tr w:rsidR="007B57B8" w:rsidRPr="00F279AF" w14:paraId="42A90750" w14:textId="77777777" w:rsidTr="00125B19">
        <w:trPr>
          <w:trHeight w:val="288"/>
        </w:trPr>
        <w:tc>
          <w:tcPr>
            <w:tcW w:w="3715" w:type="dxa"/>
          </w:tcPr>
          <w:p w14:paraId="32876834"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Cognitive frailty </w:t>
            </w:r>
          </w:p>
        </w:tc>
        <w:tc>
          <w:tcPr>
            <w:tcW w:w="1800" w:type="dxa"/>
          </w:tcPr>
          <w:p w14:paraId="0FB56EE8"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82 (7.4)</w:t>
            </w:r>
          </w:p>
        </w:tc>
        <w:tc>
          <w:tcPr>
            <w:tcW w:w="2435" w:type="dxa"/>
          </w:tcPr>
          <w:p w14:paraId="3E6C7B5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78 (7.4)</w:t>
            </w:r>
          </w:p>
        </w:tc>
        <w:tc>
          <w:tcPr>
            <w:tcW w:w="2250" w:type="dxa"/>
          </w:tcPr>
          <w:p w14:paraId="62C535AD"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76 (6.9)</w:t>
            </w:r>
          </w:p>
        </w:tc>
      </w:tr>
      <w:tr w:rsidR="007B57B8" w:rsidRPr="00F279AF" w14:paraId="3520E448" w14:textId="77777777" w:rsidTr="00125B19">
        <w:trPr>
          <w:trHeight w:val="288"/>
        </w:trPr>
        <w:tc>
          <w:tcPr>
            <w:tcW w:w="3715" w:type="dxa"/>
          </w:tcPr>
          <w:p w14:paraId="698A5D41"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 xml:space="preserve">Anticholinergic Burden, </w:t>
            </w:r>
            <w:r w:rsidRPr="00F279AF">
              <w:rPr>
                <w:color w:val="000000" w:themeColor="text1"/>
                <w:sz w:val="22"/>
                <w:szCs w:val="22"/>
              </w:rPr>
              <w:t>mean (SD)</w:t>
            </w:r>
          </w:p>
        </w:tc>
        <w:tc>
          <w:tcPr>
            <w:tcW w:w="1800" w:type="dxa"/>
          </w:tcPr>
          <w:p w14:paraId="7C28749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435" w:type="dxa"/>
          </w:tcPr>
          <w:p w14:paraId="370E5106"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Pr>
          <w:p w14:paraId="3B47309E"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3DD78527" w14:textId="77777777" w:rsidTr="00125B19">
        <w:trPr>
          <w:trHeight w:val="288"/>
        </w:trPr>
        <w:tc>
          <w:tcPr>
            <w:tcW w:w="3715" w:type="dxa"/>
          </w:tcPr>
          <w:p w14:paraId="49E2718D"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Control</w:t>
            </w:r>
          </w:p>
        </w:tc>
        <w:tc>
          <w:tcPr>
            <w:tcW w:w="1800" w:type="dxa"/>
          </w:tcPr>
          <w:p w14:paraId="0F2B0E6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2.2 (2.0)</w:t>
            </w:r>
          </w:p>
        </w:tc>
        <w:tc>
          <w:tcPr>
            <w:tcW w:w="2435" w:type="dxa"/>
          </w:tcPr>
          <w:p w14:paraId="01D5747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1.9 (1.8)</w:t>
            </w:r>
          </w:p>
        </w:tc>
        <w:tc>
          <w:tcPr>
            <w:tcW w:w="2250" w:type="dxa"/>
          </w:tcPr>
          <w:p w14:paraId="74E2DA24"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1.7 (1.7)</w:t>
            </w:r>
          </w:p>
        </w:tc>
      </w:tr>
      <w:tr w:rsidR="007B57B8" w:rsidRPr="00F279AF" w14:paraId="0E32E996" w14:textId="77777777" w:rsidTr="00125B19">
        <w:trPr>
          <w:trHeight w:val="288"/>
        </w:trPr>
        <w:tc>
          <w:tcPr>
            <w:tcW w:w="3715" w:type="dxa"/>
          </w:tcPr>
          <w:p w14:paraId="101BED22"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Cognitive frailty</w:t>
            </w:r>
          </w:p>
        </w:tc>
        <w:tc>
          <w:tcPr>
            <w:tcW w:w="1800" w:type="dxa"/>
          </w:tcPr>
          <w:p w14:paraId="1A64DB2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3.0 (2.2)</w:t>
            </w:r>
          </w:p>
        </w:tc>
        <w:tc>
          <w:tcPr>
            <w:tcW w:w="2435" w:type="dxa"/>
          </w:tcPr>
          <w:p w14:paraId="2A389B5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3.0 (2.2)</w:t>
            </w:r>
          </w:p>
        </w:tc>
        <w:tc>
          <w:tcPr>
            <w:tcW w:w="2250" w:type="dxa"/>
          </w:tcPr>
          <w:p w14:paraId="58AD5F6E"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2.8 (2.2)</w:t>
            </w:r>
          </w:p>
        </w:tc>
      </w:tr>
      <w:tr w:rsidR="007B57B8" w:rsidRPr="00F279AF" w14:paraId="1B75C1D6" w14:textId="77777777" w:rsidTr="00125B19">
        <w:trPr>
          <w:trHeight w:val="288"/>
        </w:trPr>
        <w:tc>
          <w:tcPr>
            <w:tcW w:w="3715" w:type="dxa"/>
          </w:tcPr>
          <w:p w14:paraId="5237E52D"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Gender, %</w:t>
            </w:r>
          </w:p>
        </w:tc>
        <w:tc>
          <w:tcPr>
            <w:tcW w:w="1800" w:type="dxa"/>
          </w:tcPr>
          <w:p w14:paraId="455FC657"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(n)</w:t>
            </w:r>
          </w:p>
        </w:tc>
        <w:tc>
          <w:tcPr>
            <w:tcW w:w="2435" w:type="dxa"/>
          </w:tcPr>
          <w:p w14:paraId="0648CD07"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(n)</w:t>
            </w:r>
          </w:p>
        </w:tc>
        <w:tc>
          <w:tcPr>
            <w:tcW w:w="2250" w:type="dxa"/>
          </w:tcPr>
          <w:p w14:paraId="31EE3BB8"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(n)</w:t>
            </w:r>
          </w:p>
        </w:tc>
      </w:tr>
      <w:tr w:rsidR="007B57B8" w:rsidRPr="00F279AF" w14:paraId="04EEAF4C" w14:textId="77777777" w:rsidTr="00125B19">
        <w:trPr>
          <w:trHeight w:val="288"/>
        </w:trPr>
        <w:tc>
          <w:tcPr>
            <w:tcW w:w="3715" w:type="dxa"/>
          </w:tcPr>
          <w:p w14:paraId="0F99E6DE"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Male</w:t>
            </w:r>
          </w:p>
        </w:tc>
        <w:tc>
          <w:tcPr>
            <w:tcW w:w="1800" w:type="dxa"/>
          </w:tcPr>
          <w:p w14:paraId="1E3A8800"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31.9 (82)</w:t>
            </w:r>
          </w:p>
        </w:tc>
        <w:tc>
          <w:tcPr>
            <w:tcW w:w="2435" w:type="dxa"/>
          </w:tcPr>
          <w:p w14:paraId="46802810"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35.1 (106)</w:t>
            </w:r>
          </w:p>
        </w:tc>
        <w:tc>
          <w:tcPr>
            <w:tcW w:w="2250" w:type="dxa"/>
          </w:tcPr>
          <w:p w14:paraId="3D8DD344"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36.0 (117)</w:t>
            </w:r>
          </w:p>
        </w:tc>
      </w:tr>
      <w:tr w:rsidR="007B57B8" w:rsidRPr="00F279AF" w14:paraId="34368F7F" w14:textId="77777777" w:rsidTr="00125B19">
        <w:trPr>
          <w:trHeight w:val="288"/>
        </w:trPr>
        <w:tc>
          <w:tcPr>
            <w:tcW w:w="3715" w:type="dxa"/>
          </w:tcPr>
          <w:p w14:paraId="53C7B70C"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Female</w:t>
            </w:r>
          </w:p>
        </w:tc>
        <w:tc>
          <w:tcPr>
            <w:tcW w:w="1800" w:type="dxa"/>
          </w:tcPr>
          <w:p w14:paraId="2FC6294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68.0 (175)</w:t>
            </w:r>
          </w:p>
        </w:tc>
        <w:tc>
          <w:tcPr>
            <w:tcW w:w="2435" w:type="dxa"/>
          </w:tcPr>
          <w:p w14:paraId="602AE53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64.9 (196)</w:t>
            </w:r>
          </w:p>
        </w:tc>
        <w:tc>
          <w:tcPr>
            <w:tcW w:w="2250" w:type="dxa"/>
          </w:tcPr>
          <w:p w14:paraId="68A8F11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64.0 (208)</w:t>
            </w:r>
          </w:p>
        </w:tc>
      </w:tr>
      <w:tr w:rsidR="007B57B8" w:rsidRPr="00F279AF" w14:paraId="24949FAA" w14:textId="77777777" w:rsidTr="00125B19">
        <w:trPr>
          <w:trHeight w:val="288"/>
        </w:trPr>
        <w:tc>
          <w:tcPr>
            <w:tcW w:w="3715" w:type="dxa"/>
          </w:tcPr>
          <w:p w14:paraId="2C2BCA30"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 xml:space="preserve">Depressive symptoms (CES-D </w:t>
            </w:r>
            <w:r w:rsidRPr="00F279AF">
              <w:rPr>
                <w:rFonts w:ascii="Cambria Math" w:eastAsia="MS Mincho" w:hAnsi="Cambria Math" w:cs="Cambria Math"/>
                <w:color w:val="000000" w:themeColor="text1"/>
                <w:sz w:val="22"/>
                <w:szCs w:val="22"/>
              </w:rPr>
              <w:t>≧</w:t>
            </w:r>
            <w:r w:rsidRPr="00F279AF">
              <w:rPr>
                <w:rFonts w:eastAsia="MS Mincho"/>
                <w:color w:val="000000" w:themeColor="text1"/>
                <w:sz w:val="22"/>
                <w:szCs w:val="22"/>
              </w:rPr>
              <w:t xml:space="preserve"> 16)</w:t>
            </w:r>
          </w:p>
        </w:tc>
        <w:tc>
          <w:tcPr>
            <w:tcW w:w="1800" w:type="dxa"/>
          </w:tcPr>
          <w:p w14:paraId="26F85F1E"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42.8 (110)</w:t>
            </w:r>
          </w:p>
        </w:tc>
        <w:tc>
          <w:tcPr>
            <w:tcW w:w="2435" w:type="dxa"/>
          </w:tcPr>
          <w:p w14:paraId="2165C6E9"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50.0 (151)</w:t>
            </w:r>
          </w:p>
        </w:tc>
        <w:tc>
          <w:tcPr>
            <w:tcW w:w="2250" w:type="dxa"/>
          </w:tcPr>
          <w:p w14:paraId="588C9749"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46.8 (152)</w:t>
            </w:r>
          </w:p>
        </w:tc>
      </w:tr>
      <w:tr w:rsidR="007B57B8" w:rsidRPr="00F279AF" w14:paraId="14DB282E" w14:textId="77777777" w:rsidTr="00125B19">
        <w:trPr>
          <w:trHeight w:val="288"/>
        </w:trPr>
        <w:tc>
          <w:tcPr>
            <w:tcW w:w="3715" w:type="dxa"/>
            <w:vAlign w:val="center"/>
          </w:tcPr>
          <w:p w14:paraId="74BE15EB" w14:textId="77777777" w:rsidR="007B57B8" w:rsidRPr="00F279AF" w:rsidRDefault="007B57B8" w:rsidP="00125B19">
            <w:pPr>
              <w:spacing w:line="360" w:lineRule="auto"/>
              <w:rPr>
                <w:color w:val="000000" w:themeColor="text1"/>
                <w:sz w:val="22"/>
                <w:szCs w:val="22"/>
              </w:rPr>
            </w:pPr>
            <w:r w:rsidRPr="00F279AF">
              <w:rPr>
                <w:color w:val="000000" w:themeColor="text1"/>
                <w:sz w:val="22"/>
                <w:szCs w:val="22"/>
              </w:rPr>
              <w:t>Education, %</w:t>
            </w:r>
          </w:p>
        </w:tc>
        <w:tc>
          <w:tcPr>
            <w:tcW w:w="1800" w:type="dxa"/>
          </w:tcPr>
          <w:p w14:paraId="3B5BDE6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435" w:type="dxa"/>
          </w:tcPr>
          <w:p w14:paraId="4E708710"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Pr>
          <w:p w14:paraId="4DFA42A2"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1102B208" w14:textId="77777777" w:rsidTr="00125B19">
        <w:trPr>
          <w:trHeight w:val="288"/>
        </w:trPr>
        <w:tc>
          <w:tcPr>
            <w:tcW w:w="3715" w:type="dxa"/>
            <w:vAlign w:val="center"/>
          </w:tcPr>
          <w:p w14:paraId="36A132B2" w14:textId="77777777" w:rsidR="007B57B8" w:rsidRPr="00F279AF" w:rsidRDefault="007B57B8" w:rsidP="00125B19">
            <w:pPr>
              <w:spacing w:line="360" w:lineRule="auto"/>
              <w:rPr>
                <w:rFonts w:eastAsia="Times New Roman"/>
                <w:color w:val="000000" w:themeColor="text1"/>
                <w:sz w:val="22"/>
                <w:szCs w:val="22"/>
              </w:rPr>
            </w:pPr>
            <w:r w:rsidRPr="00F279AF">
              <w:rPr>
                <w:rFonts w:eastAsia="Times New Roman"/>
                <w:color w:val="000000" w:themeColor="text1"/>
                <w:sz w:val="22"/>
                <w:szCs w:val="22"/>
              </w:rPr>
              <w:t xml:space="preserve">    Elementary</w:t>
            </w:r>
          </w:p>
        </w:tc>
        <w:tc>
          <w:tcPr>
            <w:tcW w:w="1800" w:type="dxa"/>
            <w:vAlign w:val="bottom"/>
          </w:tcPr>
          <w:p w14:paraId="6122A32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58.8 (151)</w:t>
            </w:r>
          </w:p>
        </w:tc>
        <w:tc>
          <w:tcPr>
            <w:tcW w:w="2435" w:type="dxa"/>
            <w:vAlign w:val="bottom"/>
          </w:tcPr>
          <w:p w14:paraId="08DA6D8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46.4 (140)</w:t>
            </w:r>
          </w:p>
        </w:tc>
        <w:tc>
          <w:tcPr>
            <w:tcW w:w="2250" w:type="dxa"/>
            <w:vAlign w:val="bottom"/>
          </w:tcPr>
          <w:p w14:paraId="3EA9BE9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30.8 (100)</w:t>
            </w:r>
          </w:p>
        </w:tc>
      </w:tr>
      <w:tr w:rsidR="007B57B8" w:rsidRPr="00F279AF" w14:paraId="5509D58A" w14:textId="77777777" w:rsidTr="00125B19">
        <w:trPr>
          <w:trHeight w:val="288"/>
        </w:trPr>
        <w:tc>
          <w:tcPr>
            <w:tcW w:w="3715" w:type="dxa"/>
            <w:vAlign w:val="center"/>
          </w:tcPr>
          <w:p w14:paraId="2F748F56" w14:textId="77777777" w:rsidR="007B57B8" w:rsidRPr="00F279AF" w:rsidRDefault="007B57B8" w:rsidP="00125B19">
            <w:pPr>
              <w:spacing w:line="360" w:lineRule="auto"/>
              <w:rPr>
                <w:rFonts w:eastAsia="Times New Roman"/>
                <w:color w:val="000000" w:themeColor="text1"/>
                <w:sz w:val="22"/>
                <w:szCs w:val="22"/>
              </w:rPr>
            </w:pPr>
            <w:r w:rsidRPr="00F279AF">
              <w:rPr>
                <w:rFonts w:eastAsia="Times New Roman"/>
                <w:color w:val="000000" w:themeColor="text1"/>
                <w:sz w:val="22"/>
                <w:szCs w:val="22"/>
              </w:rPr>
              <w:t xml:space="preserve">    Secondary</w:t>
            </w:r>
          </w:p>
        </w:tc>
        <w:tc>
          <w:tcPr>
            <w:tcW w:w="1800" w:type="dxa"/>
            <w:vAlign w:val="bottom"/>
          </w:tcPr>
          <w:p w14:paraId="25AB9316"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37.7 (97)</w:t>
            </w:r>
          </w:p>
        </w:tc>
        <w:tc>
          <w:tcPr>
            <w:tcW w:w="2435" w:type="dxa"/>
            <w:vAlign w:val="bottom"/>
          </w:tcPr>
          <w:p w14:paraId="4236795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49.3 (149)</w:t>
            </w:r>
          </w:p>
        </w:tc>
        <w:tc>
          <w:tcPr>
            <w:tcW w:w="2250" w:type="dxa"/>
            <w:vAlign w:val="bottom"/>
          </w:tcPr>
          <w:p w14:paraId="3EDA3AAD"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61.5 (200)</w:t>
            </w:r>
          </w:p>
        </w:tc>
      </w:tr>
      <w:tr w:rsidR="007B57B8" w:rsidRPr="00F279AF" w14:paraId="57BA3FE9" w14:textId="77777777" w:rsidTr="00125B19">
        <w:trPr>
          <w:trHeight w:val="288"/>
        </w:trPr>
        <w:tc>
          <w:tcPr>
            <w:tcW w:w="3715" w:type="dxa"/>
            <w:tcBorders>
              <w:bottom w:val="single" w:sz="4" w:space="0" w:color="auto"/>
            </w:tcBorders>
            <w:vAlign w:val="center"/>
          </w:tcPr>
          <w:p w14:paraId="7551EF0A" w14:textId="77777777" w:rsidR="007B57B8" w:rsidRPr="00F279AF" w:rsidRDefault="007B57B8" w:rsidP="00125B19">
            <w:pPr>
              <w:spacing w:line="360" w:lineRule="auto"/>
              <w:rPr>
                <w:rFonts w:eastAsia="Times New Roman"/>
                <w:color w:val="000000" w:themeColor="text1"/>
                <w:sz w:val="22"/>
                <w:szCs w:val="22"/>
              </w:rPr>
            </w:pPr>
            <w:r w:rsidRPr="00F279AF">
              <w:rPr>
                <w:rFonts w:eastAsia="MS Mincho"/>
                <w:color w:val="000000" w:themeColor="text1"/>
                <w:sz w:val="22"/>
                <w:szCs w:val="22"/>
              </w:rPr>
              <w:t xml:space="preserve">    </w:t>
            </w:r>
            <w:r w:rsidRPr="00F279AF">
              <w:rPr>
                <w:rFonts w:ascii="Cambria Math" w:eastAsia="MS Mincho" w:hAnsi="Cambria Math" w:cs="Cambria Math"/>
                <w:color w:val="000000" w:themeColor="text1"/>
                <w:sz w:val="22"/>
                <w:szCs w:val="22"/>
              </w:rPr>
              <w:t>≧</w:t>
            </w:r>
            <w:r w:rsidRPr="00F279AF">
              <w:rPr>
                <w:rFonts w:eastAsia="Times New Roman"/>
                <w:color w:val="000000" w:themeColor="text1"/>
                <w:sz w:val="22"/>
                <w:szCs w:val="22"/>
              </w:rPr>
              <w:t xml:space="preserve"> High School</w:t>
            </w:r>
          </w:p>
        </w:tc>
        <w:tc>
          <w:tcPr>
            <w:tcW w:w="1800" w:type="dxa"/>
            <w:tcBorders>
              <w:bottom w:val="single" w:sz="4" w:space="0" w:color="auto"/>
            </w:tcBorders>
            <w:vAlign w:val="bottom"/>
          </w:tcPr>
          <w:p w14:paraId="634C3FA7"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1.9 (5)</w:t>
            </w:r>
          </w:p>
        </w:tc>
        <w:tc>
          <w:tcPr>
            <w:tcW w:w="2435" w:type="dxa"/>
            <w:tcBorders>
              <w:bottom w:val="single" w:sz="4" w:space="0" w:color="auto"/>
            </w:tcBorders>
            <w:vAlign w:val="bottom"/>
          </w:tcPr>
          <w:p w14:paraId="7F32CE98"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3.3 (10)</w:t>
            </w:r>
          </w:p>
        </w:tc>
        <w:tc>
          <w:tcPr>
            <w:tcW w:w="2250" w:type="dxa"/>
            <w:tcBorders>
              <w:bottom w:val="single" w:sz="4" w:space="0" w:color="auto"/>
            </w:tcBorders>
            <w:vAlign w:val="bottom"/>
          </w:tcPr>
          <w:p w14:paraId="5B2C90C2"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7.4 (25)</w:t>
            </w:r>
          </w:p>
        </w:tc>
      </w:tr>
    </w:tbl>
    <w:p w14:paraId="1F32BAE4" w14:textId="77777777" w:rsidR="007B57B8" w:rsidRPr="00F279AF" w:rsidRDefault="007B57B8" w:rsidP="007B57B8">
      <w:pPr>
        <w:spacing w:line="360" w:lineRule="auto"/>
        <w:rPr>
          <w:color w:val="000000" w:themeColor="text1"/>
          <w:sz w:val="20"/>
          <w:szCs w:val="20"/>
        </w:rPr>
      </w:pPr>
      <w:r w:rsidRPr="00F279AF">
        <w:rPr>
          <w:i/>
          <w:color w:val="000000" w:themeColor="text1"/>
          <w:sz w:val="20"/>
          <w:szCs w:val="20"/>
        </w:rPr>
        <w:t>Note:</w:t>
      </w:r>
      <w:r w:rsidRPr="00F279AF">
        <w:rPr>
          <w:color w:val="000000" w:themeColor="text1"/>
          <w:sz w:val="20"/>
          <w:szCs w:val="20"/>
        </w:rPr>
        <w:t xml:space="preserve"> SD = standard deviation</w:t>
      </w:r>
    </w:p>
    <w:p w14:paraId="78389038" w14:textId="77777777" w:rsidR="007B57B8" w:rsidRPr="00F279AF" w:rsidRDefault="007B57B8" w:rsidP="007B57B8">
      <w:pPr>
        <w:pStyle w:val="Heading2"/>
        <w:rPr>
          <w:rFonts w:ascii="Times New Roman" w:hAnsi="Times New Roman"/>
          <w:b/>
          <w:color w:val="000000" w:themeColor="text1"/>
          <w:sz w:val="22"/>
          <w:szCs w:val="22"/>
        </w:rPr>
      </w:pPr>
      <w:r w:rsidRPr="00F279AF">
        <w:rPr>
          <w:rFonts w:ascii="Times New Roman" w:hAnsi="Times New Roman"/>
          <w:b/>
          <w:color w:val="000000" w:themeColor="text1"/>
          <w:sz w:val="22"/>
          <w:szCs w:val="22"/>
        </w:rPr>
        <w:t>Ta</w:t>
      </w:r>
      <w:bookmarkStart w:id="0" w:name="_GoBack"/>
      <w:bookmarkEnd w:id="0"/>
      <w:r w:rsidRPr="00F279AF">
        <w:rPr>
          <w:rFonts w:ascii="Times New Roman" w:hAnsi="Times New Roman"/>
          <w:b/>
          <w:color w:val="000000" w:themeColor="text1"/>
          <w:sz w:val="22"/>
          <w:szCs w:val="22"/>
        </w:rPr>
        <w:t>ble II. Genomic features for cognitive frailty ranked by importance in model I and II</w:t>
      </w:r>
    </w:p>
    <w:p w14:paraId="2D01BAEB" w14:textId="3E958695" w:rsidR="007B57B8" w:rsidRPr="00F279AF" w:rsidRDefault="003E505E" w:rsidP="007B57B8">
      <w:pPr>
        <w:rPr>
          <w:i/>
          <w:color w:val="000000" w:themeColor="text1"/>
          <w:sz w:val="20"/>
          <w:szCs w:val="20"/>
        </w:rPr>
      </w:pPr>
      <w:r>
        <w:rPr>
          <w:i/>
          <w:noProof/>
        </w:rPr>
        <w:drawing>
          <wp:inline distT="0" distB="0" distL="0" distR="0" wp14:anchorId="0958C771" wp14:editId="266A5800">
            <wp:extent cx="6588125" cy="2750695"/>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23 at 9.58.17 PM.png"/>
                    <pic:cNvPicPr/>
                  </pic:nvPicPr>
                  <pic:blipFill>
                    <a:blip r:embed="rId6"/>
                    <a:stretch>
                      <a:fillRect/>
                    </a:stretch>
                  </pic:blipFill>
                  <pic:spPr>
                    <a:xfrm>
                      <a:off x="0" y="0"/>
                      <a:ext cx="6635084" cy="2770302"/>
                    </a:xfrm>
                    <a:prstGeom prst="rect">
                      <a:avLst/>
                    </a:prstGeom>
                  </pic:spPr>
                </pic:pic>
              </a:graphicData>
            </a:graphic>
          </wp:inline>
        </w:drawing>
      </w:r>
    </w:p>
    <w:p w14:paraId="366C858A" w14:textId="77777777" w:rsidR="007B57B8" w:rsidRPr="00F279AF" w:rsidRDefault="007B57B8" w:rsidP="007B57B8">
      <w:pPr>
        <w:rPr>
          <w:color w:val="000000" w:themeColor="text1"/>
          <w:sz w:val="20"/>
          <w:szCs w:val="20"/>
        </w:rPr>
      </w:pPr>
      <w:r w:rsidRPr="00F279AF">
        <w:rPr>
          <w:i/>
          <w:color w:val="000000" w:themeColor="text1"/>
          <w:sz w:val="20"/>
          <w:szCs w:val="20"/>
        </w:rPr>
        <w:t>Note:</w:t>
      </w:r>
      <w:r w:rsidRPr="00F279AF">
        <w:rPr>
          <w:color w:val="000000" w:themeColor="text1"/>
          <w:sz w:val="20"/>
          <w:szCs w:val="20"/>
        </w:rPr>
        <w:t xml:space="preserve"> bold text indicates the closes gene, table represents statistically different genes between cognitive frailty and healthy controls; model results are ranked by importance defined by </w:t>
      </w:r>
      <w:r w:rsidRPr="00F279AF">
        <w:rPr>
          <w:color w:val="000000" w:themeColor="text1"/>
          <w:sz w:val="20"/>
          <w:szCs w:val="20"/>
          <w:shd w:val="clear" w:color="auto" w:fill="FFFFFF"/>
        </w:rPr>
        <w:t>gain; gain is the features importance in predicting cognitive frailty</w:t>
      </w:r>
      <w:r w:rsidRPr="00F279AF">
        <w:rPr>
          <w:b/>
          <w:color w:val="000000" w:themeColor="text1"/>
        </w:rPr>
        <w:br w:type="page"/>
      </w:r>
    </w:p>
    <w:p w14:paraId="7C4BD380" w14:textId="77777777" w:rsidR="007B57B8" w:rsidRPr="00F279AF" w:rsidRDefault="007B57B8" w:rsidP="007B57B8">
      <w:pPr>
        <w:rPr>
          <w:b/>
          <w:color w:val="000000" w:themeColor="text1"/>
          <w:sz w:val="20"/>
          <w:szCs w:val="20"/>
        </w:rPr>
      </w:pPr>
      <w:r w:rsidRPr="00F279AF">
        <w:rPr>
          <w:b/>
          <w:color w:val="000000" w:themeColor="text1"/>
          <w:sz w:val="20"/>
          <w:szCs w:val="20"/>
        </w:rPr>
        <w:lastRenderedPageBreak/>
        <w:t>Table III. Biomarkers found to be statistically significantly different between healthy controls and individuals with cognitive frailty based on MMSE ranked by importance (gain) from Model I</w:t>
      </w:r>
    </w:p>
    <w:p w14:paraId="03FDC393" w14:textId="77777777" w:rsidR="007B57B8" w:rsidRPr="00F279AF" w:rsidRDefault="007B57B8" w:rsidP="007B57B8">
      <w:pPr>
        <w:rPr>
          <w:color w:val="000000" w:themeColor="text1"/>
          <w:sz w:val="20"/>
          <w:szCs w:val="20"/>
        </w:rPr>
      </w:pPr>
      <w:r w:rsidRPr="00F279AF">
        <w:rPr>
          <w:b/>
          <w:noProof/>
          <w:color w:val="000000" w:themeColor="text1"/>
        </w:rPr>
        <w:drawing>
          <wp:inline distT="0" distB="0" distL="0" distR="0" wp14:anchorId="36F889F0" wp14:editId="2E808F20">
            <wp:extent cx="6546215" cy="791949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2 at 4.08.27 PM.png"/>
                    <pic:cNvPicPr/>
                  </pic:nvPicPr>
                  <pic:blipFill>
                    <a:blip r:embed="rId7">
                      <a:extLst>
                        <a:ext uri="{28A0092B-C50C-407E-A947-70E740481C1C}">
                          <a14:useLocalDpi xmlns:a14="http://schemas.microsoft.com/office/drawing/2010/main" val="0"/>
                        </a:ext>
                      </a:extLst>
                    </a:blip>
                    <a:stretch>
                      <a:fillRect/>
                    </a:stretch>
                  </pic:blipFill>
                  <pic:spPr>
                    <a:xfrm>
                      <a:off x="0" y="0"/>
                      <a:ext cx="6609482" cy="7996038"/>
                    </a:xfrm>
                    <a:prstGeom prst="rect">
                      <a:avLst/>
                    </a:prstGeom>
                  </pic:spPr>
                </pic:pic>
              </a:graphicData>
            </a:graphic>
          </wp:inline>
        </w:drawing>
      </w:r>
    </w:p>
    <w:p w14:paraId="39448B6F" w14:textId="77777777" w:rsidR="007B57B8" w:rsidRPr="00F279AF" w:rsidRDefault="007B57B8" w:rsidP="007B57B8">
      <w:pPr>
        <w:rPr>
          <w:b/>
          <w:color w:val="000000" w:themeColor="text1"/>
        </w:rPr>
      </w:pPr>
      <w:r w:rsidRPr="00F279AF">
        <w:rPr>
          <w:color w:val="000000" w:themeColor="text1"/>
          <w:sz w:val="20"/>
          <w:szCs w:val="20"/>
        </w:rPr>
        <w:t xml:space="preserve">Note: Significant model results ranked by importance defined as gain with the univariate results, </w:t>
      </w:r>
      <w:r w:rsidRPr="00F279AF">
        <w:rPr>
          <w:color w:val="000000" w:themeColor="text1"/>
          <w:sz w:val="20"/>
          <w:szCs w:val="20"/>
          <w:shd w:val="clear" w:color="auto" w:fill="FFFFFF"/>
        </w:rPr>
        <w:t xml:space="preserve">gain is the features importance in predicting cognitive frailty. </w:t>
      </w:r>
    </w:p>
    <w:p w14:paraId="15A60189" w14:textId="77777777" w:rsidR="007B57B8" w:rsidRPr="00F279AF" w:rsidRDefault="007B57B8" w:rsidP="007B57B8">
      <w:pPr>
        <w:rPr>
          <w:color w:val="000000" w:themeColor="text1"/>
          <w:sz w:val="20"/>
          <w:szCs w:val="20"/>
        </w:rPr>
      </w:pPr>
      <w:r w:rsidRPr="00F279AF">
        <w:rPr>
          <w:b/>
          <w:color w:val="000000" w:themeColor="text1"/>
        </w:rPr>
        <w:br w:type="page"/>
      </w:r>
      <w:r w:rsidRPr="00F279AF">
        <w:rPr>
          <w:b/>
          <w:color w:val="000000" w:themeColor="text1"/>
          <w:sz w:val="20"/>
          <w:szCs w:val="20"/>
        </w:rPr>
        <w:lastRenderedPageBreak/>
        <w:t>Table IV. Biomarkers found to be statistically significantly different between healthy controls and individuals with cognitive frailty based on TMT-A and B ranked by importance (gain) from Model II</w:t>
      </w:r>
    </w:p>
    <w:p w14:paraId="1C95A0F0" w14:textId="77777777" w:rsidR="007B57B8" w:rsidRPr="00F279AF" w:rsidRDefault="007B57B8" w:rsidP="007B57B8">
      <w:pPr>
        <w:rPr>
          <w:b/>
          <w:color w:val="000000" w:themeColor="text1"/>
          <w:sz w:val="20"/>
          <w:szCs w:val="20"/>
        </w:rPr>
      </w:pPr>
      <w:r w:rsidRPr="00F279AF">
        <w:rPr>
          <w:b/>
          <w:noProof/>
          <w:color w:val="000000" w:themeColor="text1"/>
          <w:sz w:val="20"/>
          <w:szCs w:val="20"/>
        </w:rPr>
        <w:drawing>
          <wp:inline distT="0" distB="0" distL="0" distR="0" wp14:anchorId="17B6A09D" wp14:editId="025F40C5">
            <wp:extent cx="7040880" cy="845223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30 at 1.02.08 PM.png"/>
                    <pic:cNvPicPr/>
                  </pic:nvPicPr>
                  <pic:blipFill>
                    <a:blip r:embed="rId8">
                      <a:extLst>
                        <a:ext uri="{28A0092B-C50C-407E-A947-70E740481C1C}">
                          <a14:useLocalDpi xmlns:a14="http://schemas.microsoft.com/office/drawing/2010/main" val="0"/>
                        </a:ext>
                      </a:extLst>
                    </a:blip>
                    <a:stretch>
                      <a:fillRect/>
                    </a:stretch>
                  </pic:blipFill>
                  <pic:spPr>
                    <a:xfrm>
                      <a:off x="0" y="0"/>
                      <a:ext cx="7113980" cy="8539989"/>
                    </a:xfrm>
                    <a:prstGeom prst="rect">
                      <a:avLst/>
                    </a:prstGeom>
                  </pic:spPr>
                </pic:pic>
              </a:graphicData>
            </a:graphic>
          </wp:inline>
        </w:drawing>
      </w:r>
    </w:p>
    <w:p w14:paraId="334BEB8F" w14:textId="77777777" w:rsidR="007B57B8" w:rsidRDefault="007B57B8" w:rsidP="007B57B8">
      <w:pPr>
        <w:rPr>
          <w:color w:val="000000" w:themeColor="text1"/>
          <w:sz w:val="20"/>
          <w:szCs w:val="20"/>
        </w:rPr>
      </w:pPr>
      <w:r w:rsidRPr="00F279AF">
        <w:rPr>
          <w:color w:val="000000" w:themeColor="text1"/>
          <w:sz w:val="20"/>
          <w:szCs w:val="20"/>
        </w:rPr>
        <w:t xml:space="preserve">Note: Significant model results ranked by importance as defined by gain with the univariate results, </w:t>
      </w:r>
      <w:r w:rsidRPr="00F279AF">
        <w:rPr>
          <w:color w:val="000000" w:themeColor="text1"/>
          <w:sz w:val="20"/>
          <w:szCs w:val="20"/>
          <w:shd w:val="clear" w:color="auto" w:fill="FFFFFF"/>
        </w:rPr>
        <w:t>gain is the features importance in predicting cognitive frailty</w:t>
      </w:r>
      <w:r w:rsidRPr="00F279AF">
        <w:rPr>
          <w:color w:val="000000" w:themeColor="text1"/>
          <w:sz w:val="20"/>
          <w:szCs w:val="20"/>
        </w:rPr>
        <w:t>; NS = not significant</w:t>
      </w:r>
    </w:p>
    <w:p w14:paraId="4AC40AD7" w14:textId="77777777" w:rsidR="007B57B8" w:rsidRDefault="007B57B8" w:rsidP="00F824C4">
      <w:pPr>
        <w:spacing w:line="360" w:lineRule="auto"/>
        <w:rPr>
          <w:color w:val="000000" w:themeColor="text1"/>
          <w:sz w:val="22"/>
          <w:szCs w:val="22"/>
        </w:rPr>
      </w:pPr>
    </w:p>
    <w:bookmarkStart w:id="1" w:name="_MON_1619900235"/>
    <w:bookmarkEnd w:id="1"/>
    <w:p w14:paraId="701C0792" w14:textId="7E5B67F8" w:rsidR="00484271" w:rsidRPr="00B86B4D" w:rsidRDefault="00E839B8" w:rsidP="00F824C4">
      <w:pPr>
        <w:spacing w:line="360" w:lineRule="auto"/>
        <w:rPr>
          <w:color w:val="000000" w:themeColor="text1"/>
          <w:sz w:val="22"/>
          <w:szCs w:val="22"/>
          <w:shd w:val="clear" w:color="auto" w:fill="FFFFFF"/>
        </w:rPr>
      </w:pPr>
      <w:r>
        <w:rPr>
          <w:noProof/>
          <w:sz w:val="22"/>
          <w:szCs w:val="22"/>
        </w:rPr>
        <w:object w:dxaOrig="9360" w:dyaOrig="6200" w14:anchorId="13B07F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6pt;height:309.85pt;mso-width-percent:0;mso-height-percent:0;mso-width-percent:0;mso-height-percent:0" o:ole="">
            <v:imagedata r:id="rId9" o:title=""/>
          </v:shape>
          <o:OLEObject Type="Embed" ProgID="Word.Document.12" ShapeID="_x0000_i1025" DrawAspect="Content" ObjectID="_1631000210" r:id="rId10">
            <o:FieldCodes>\s</o:FieldCodes>
          </o:OLEObject>
        </w:object>
      </w:r>
    </w:p>
    <w:sectPr w:rsidR="00484271" w:rsidRPr="00B86B4D" w:rsidSect="007B57B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AF9"/>
    <w:multiLevelType w:val="hybridMultilevel"/>
    <w:tmpl w:val="E4C0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F146A3"/>
    <w:multiLevelType w:val="hybridMultilevel"/>
    <w:tmpl w:val="61C0881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5FF44CFE"/>
    <w:multiLevelType w:val="multilevel"/>
    <w:tmpl w:val="28F45D0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088"/>
    <w:rsid w:val="00047077"/>
    <w:rsid w:val="00050E9D"/>
    <w:rsid w:val="000A7030"/>
    <w:rsid w:val="000F4476"/>
    <w:rsid w:val="001700A7"/>
    <w:rsid w:val="001B10CB"/>
    <w:rsid w:val="001E500E"/>
    <w:rsid w:val="003E505E"/>
    <w:rsid w:val="00472797"/>
    <w:rsid w:val="00484271"/>
    <w:rsid w:val="00492DA3"/>
    <w:rsid w:val="004E453C"/>
    <w:rsid w:val="004F68C3"/>
    <w:rsid w:val="00503924"/>
    <w:rsid w:val="0056183A"/>
    <w:rsid w:val="00564088"/>
    <w:rsid w:val="005C70DB"/>
    <w:rsid w:val="005F1C9E"/>
    <w:rsid w:val="006C4F23"/>
    <w:rsid w:val="006E01DE"/>
    <w:rsid w:val="006F7405"/>
    <w:rsid w:val="007B57B8"/>
    <w:rsid w:val="008C3813"/>
    <w:rsid w:val="008D1AFD"/>
    <w:rsid w:val="00980178"/>
    <w:rsid w:val="009A3767"/>
    <w:rsid w:val="009C53B8"/>
    <w:rsid w:val="00AB057B"/>
    <w:rsid w:val="00AC3867"/>
    <w:rsid w:val="00AF1727"/>
    <w:rsid w:val="00B86B4D"/>
    <w:rsid w:val="00BD4B61"/>
    <w:rsid w:val="00BE5BEB"/>
    <w:rsid w:val="00DB7BB8"/>
    <w:rsid w:val="00E75219"/>
    <w:rsid w:val="00E839B8"/>
    <w:rsid w:val="00EB7A82"/>
    <w:rsid w:val="00F06B79"/>
    <w:rsid w:val="00F82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CB92E"/>
  <w15:chartTrackingRefBased/>
  <w15:docId w15:val="{01E6C341-E039-F54B-9FC0-B4CCBC158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1C9E"/>
    <w:rPr>
      <w:rFonts w:ascii="Times New Roman" w:hAnsi="Times New Roman" w:cs="Times New Roman"/>
    </w:rPr>
  </w:style>
  <w:style w:type="paragraph" w:styleId="Heading2">
    <w:name w:val="heading 2"/>
    <w:basedOn w:val="Normal"/>
    <w:next w:val="Normal"/>
    <w:link w:val="Heading2Char"/>
    <w:uiPriority w:val="99"/>
    <w:qFormat/>
    <w:rsid w:val="007B57B8"/>
    <w:pPr>
      <w:keepNext/>
      <w:keepLines/>
      <w:spacing w:before="40"/>
      <w:outlineLvl w:val="1"/>
    </w:pPr>
    <w:rPr>
      <w:rFonts w:ascii="Calibri Light" w:eastAsia="Times New Roma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E75219"/>
    <w:rPr>
      <w:rFonts w:cs="Times New Roman"/>
      <w:color w:val="0000FF"/>
      <w:u w:val="single"/>
    </w:rPr>
  </w:style>
  <w:style w:type="paragraph" w:styleId="ListParagraph">
    <w:name w:val="List Paragraph"/>
    <w:basedOn w:val="Normal"/>
    <w:uiPriority w:val="34"/>
    <w:qFormat/>
    <w:rsid w:val="00E75219"/>
    <w:pPr>
      <w:ind w:left="720"/>
      <w:contextualSpacing/>
    </w:pPr>
    <w:rPr>
      <w:rFonts w:ascii="Calibri" w:eastAsia="Calibri" w:hAnsi="Calibri"/>
    </w:rPr>
  </w:style>
  <w:style w:type="character" w:customStyle="1" w:styleId="Heading2Char">
    <w:name w:val="Heading 2 Char"/>
    <w:basedOn w:val="DefaultParagraphFont"/>
    <w:link w:val="Heading2"/>
    <w:uiPriority w:val="99"/>
    <w:rsid w:val="007B57B8"/>
    <w:rPr>
      <w:rFonts w:ascii="Calibri Light" w:eastAsia="Times New Roman" w:hAnsi="Calibri Light" w:cs="Times New Roman"/>
      <w:color w:val="2F549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sciencedirect.com/topics/neuroscience/biomarkers" TargetMode="External"/><Relationship Id="rId10" Type="http://schemas.openxmlformats.org/officeDocument/2006/relationships/package" Target="embeddings/Microsoft_Word_Document.docx"/><Relationship Id="rId4" Type="http://schemas.openxmlformats.org/officeDocument/2006/relationships/webSettings" Target="web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7</Pages>
  <Words>9926</Words>
  <Characters>56581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2019-09-16T08:56:00Z</dcterms:created>
  <dcterms:modified xsi:type="dcterms:W3CDTF">2019-09-26T14:50:00Z</dcterms:modified>
</cp:coreProperties>
</file>